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BD4FA" w14:textId="700945F1" w:rsidR="001576F1" w:rsidRPr="00D94E0C" w:rsidRDefault="001576F1" w:rsidP="001576F1">
      <w:pPr>
        <w:spacing w:after="120"/>
        <w:jc w:val="center"/>
        <w:rPr>
          <w:rFonts w:ascii="Times New Roman" w:hAnsi="Times New Roman" w:cs="Times New Roman"/>
          <w:b/>
          <w:bCs/>
          <w:caps/>
          <w:sz w:val="28"/>
          <w:szCs w:val="28"/>
        </w:rPr>
      </w:pPr>
      <w:bookmarkStart w:id="0" w:name="_Hlk208918312"/>
      <w:r w:rsidRPr="00D94E0C">
        <w:rPr>
          <w:rFonts w:ascii="Times New Roman" w:hAnsi="Times New Roman" w:cs="Times New Roman"/>
          <w:b/>
          <w:bCs/>
          <w:caps/>
          <w:sz w:val="28"/>
          <w:szCs w:val="28"/>
        </w:rPr>
        <w:t>Appel à communication</w:t>
      </w:r>
      <w:r w:rsidR="00D9424C">
        <w:rPr>
          <w:rFonts w:ascii="Times New Roman" w:hAnsi="Times New Roman" w:cs="Times New Roman"/>
          <w:b/>
          <w:bCs/>
          <w:caps/>
          <w:sz w:val="28"/>
          <w:szCs w:val="28"/>
        </w:rPr>
        <w:t>s</w:t>
      </w:r>
    </w:p>
    <w:p w14:paraId="6E164393" w14:textId="0FEA7B8C" w:rsidR="001576F1" w:rsidRPr="00D94E0C" w:rsidRDefault="001354C5" w:rsidP="001354C5">
      <w:pPr>
        <w:spacing w:after="120"/>
        <w:rPr>
          <w:rFonts w:ascii="Times New Roman" w:hAnsi="Times New Roman" w:cs="Times New Roman"/>
          <w:b/>
          <w:bCs/>
          <w:sz w:val="28"/>
          <w:szCs w:val="28"/>
        </w:rPr>
      </w:pPr>
      <w:r>
        <w:rPr>
          <w:rFonts w:ascii="Times New Roman" w:hAnsi="Times New Roman" w:cs="Times New Roman"/>
          <w:b/>
          <w:bCs/>
          <w:sz w:val="28"/>
          <w:szCs w:val="28"/>
        </w:rPr>
        <w:t xml:space="preserve">Pour le </w:t>
      </w:r>
      <w:r w:rsidR="001576F1" w:rsidRPr="00D94E0C">
        <w:rPr>
          <w:rFonts w:ascii="Times New Roman" w:hAnsi="Times New Roman" w:cs="Times New Roman"/>
          <w:b/>
          <w:bCs/>
          <w:sz w:val="28"/>
          <w:szCs w:val="28"/>
        </w:rPr>
        <w:t xml:space="preserve">Colloque </w:t>
      </w:r>
      <w:r>
        <w:rPr>
          <w:rFonts w:ascii="Times New Roman" w:hAnsi="Times New Roman" w:cs="Times New Roman"/>
          <w:b/>
          <w:bCs/>
          <w:sz w:val="28"/>
          <w:szCs w:val="28"/>
        </w:rPr>
        <w:t xml:space="preserve">international </w:t>
      </w:r>
      <w:r w:rsidR="001576F1">
        <w:rPr>
          <w:rFonts w:ascii="Times New Roman" w:hAnsi="Times New Roman" w:cs="Times New Roman"/>
          <w:b/>
          <w:bCs/>
          <w:sz w:val="28"/>
          <w:szCs w:val="28"/>
        </w:rPr>
        <w:t xml:space="preserve">de la </w:t>
      </w:r>
      <w:r w:rsidR="001576F1" w:rsidRPr="00D94E0C">
        <w:rPr>
          <w:rFonts w:ascii="Times New Roman" w:hAnsi="Times New Roman" w:cs="Times New Roman"/>
          <w:b/>
          <w:bCs/>
          <w:sz w:val="28"/>
          <w:szCs w:val="28"/>
        </w:rPr>
        <w:t xml:space="preserve">Chaire Unesco </w:t>
      </w:r>
      <w:r>
        <w:rPr>
          <w:rFonts w:ascii="Times New Roman" w:hAnsi="Times New Roman" w:cs="Times New Roman"/>
          <w:b/>
          <w:bCs/>
          <w:sz w:val="28"/>
          <w:szCs w:val="28"/>
        </w:rPr>
        <w:t>« </w:t>
      </w:r>
      <w:r w:rsidR="001576F1" w:rsidRPr="00D94E0C">
        <w:rPr>
          <w:rFonts w:ascii="Times New Roman" w:hAnsi="Times New Roman" w:cs="Times New Roman"/>
          <w:b/>
          <w:bCs/>
          <w:sz w:val="28"/>
          <w:szCs w:val="28"/>
        </w:rPr>
        <w:t>Pratiques émergentes en technologies et communication pour le développement</w:t>
      </w:r>
      <w:r>
        <w:rPr>
          <w:rFonts w:ascii="Times New Roman" w:hAnsi="Times New Roman" w:cs="Times New Roman"/>
          <w:b/>
          <w:bCs/>
          <w:sz w:val="28"/>
          <w:szCs w:val="28"/>
        </w:rPr>
        <w:t> »</w:t>
      </w:r>
      <w:r w:rsidR="001576F1" w:rsidRPr="00D94E0C">
        <w:rPr>
          <w:rFonts w:ascii="Times New Roman" w:hAnsi="Times New Roman" w:cs="Times New Roman"/>
          <w:b/>
          <w:bCs/>
          <w:sz w:val="28"/>
          <w:szCs w:val="28"/>
        </w:rPr>
        <w:t>, Université Bordeaux Montaigne</w:t>
      </w:r>
    </w:p>
    <w:p w14:paraId="672B468D" w14:textId="77777777" w:rsidR="001576F1" w:rsidRPr="00175D0B" w:rsidRDefault="001576F1" w:rsidP="001576F1">
      <w:pPr>
        <w:spacing w:after="120"/>
        <w:jc w:val="both"/>
        <w:rPr>
          <w:rFonts w:ascii="Times New Roman" w:hAnsi="Times New Roman" w:cs="Times New Roman"/>
          <w:b/>
          <w:bCs/>
        </w:rPr>
      </w:pPr>
      <w:r w:rsidRPr="00175D0B">
        <w:rPr>
          <w:rFonts w:ascii="Times New Roman" w:hAnsi="Times New Roman" w:cs="Times New Roman"/>
        </w:rPr>
        <w:t xml:space="preserve"> </w:t>
      </w:r>
    </w:p>
    <w:p w14:paraId="023E7BA6" w14:textId="77777777" w:rsidR="001576F1" w:rsidRPr="00175D0B" w:rsidRDefault="001576F1" w:rsidP="001576F1">
      <w:pPr>
        <w:spacing w:after="120"/>
        <w:jc w:val="both"/>
        <w:rPr>
          <w:rFonts w:ascii="Times New Roman" w:hAnsi="Times New Roman" w:cs="Times New Roman"/>
          <w:b/>
          <w:bCs/>
        </w:rPr>
      </w:pPr>
      <w:r w:rsidRPr="00175D0B">
        <w:rPr>
          <w:rFonts w:ascii="Times New Roman" w:hAnsi="Times New Roman" w:cs="Times New Roman"/>
        </w:rPr>
        <w:t xml:space="preserve">Titre : </w:t>
      </w:r>
      <w:r w:rsidRPr="00175D0B">
        <w:rPr>
          <w:rFonts w:ascii="Times New Roman" w:hAnsi="Times New Roman" w:cs="Times New Roman"/>
          <w:b/>
          <w:bCs/>
        </w:rPr>
        <w:t>Penser le rapport à</w:t>
      </w:r>
      <w:r w:rsidRPr="00175D0B">
        <w:rPr>
          <w:rFonts w:ascii="Times New Roman" w:hAnsi="Times New Roman" w:cs="Times New Roman"/>
        </w:rPr>
        <w:t xml:space="preserve"> l’</w:t>
      </w:r>
      <w:r w:rsidRPr="00175D0B">
        <w:rPr>
          <w:rFonts w:ascii="Times New Roman" w:hAnsi="Times New Roman" w:cs="Times New Roman"/>
          <w:b/>
          <w:bCs/>
        </w:rPr>
        <w:t>IA et aux technologies numériques : pouvoirs, résistances, innovations</w:t>
      </w:r>
    </w:p>
    <w:p w14:paraId="321A3C6A" w14:textId="77777777" w:rsidR="001576F1" w:rsidRPr="00175D0B" w:rsidRDefault="001576F1" w:rsidP="001576F1">
      <w:pPr>
        <w:spacing w:after="120"/>
        <w:jc w:val="both"/>
        <w:rPr>
          <w:rFonts w:ascii="Times New Roman" w:hAnsi="Times New Roman" w:cs="Times New Roman"/>
        </w:rPr>
      </w:pPr>
    </w:p>
    <w:p w14:paraId="338C6F53" w14:textId="77777777" w:rsidR="001576F1" w:rsidRPr="00175D0B" w:rsidRDefault="001576F1" w:rsidP="001576F1">
      <w:pPr>
        <w:spacing w:after="120"/>
        <w:jc w:val="both"/>
        <w:rPr>
          <w:rFonts w:ascii="Times New Roman" w:hAnsi="Times New Roman" w:cs="Times New Roman"/>
          <w:b/>
          <w:bCs/>
        </w:rPr>
      </w:pPr>
      <w:r w:rsidRPr="00175D0B">
        <w:rPr>
          <w:rFonts w:ascii="Times New Roman" w:hAnsi="Times New Roman" w:cs="Times New Roman"/>
          <w:b/>
          <w:bCs/>
        </w:rPr>
        <w:t>Présentation</w:t>
      </w:r>
    </w:p>
    <w:p w14:paraId="2D979234" w14:textId="7777777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Les technologies numériques constituent un facteur central de mutation des sociétés contemporaines, l’intelligence artificielle représentant l’un de leurs vecteurs les plus significatifs. Elles sont à la fois porteuses de promesses d’innovation et de participation, et vectrices de dépendances, d’exclusions et de formes renouvelées de domination. Nonobstant l’avis de Richard G. Zind (1978), aucune technologie n’est neutre (Goupy, 2014 ; Almazán Gómez &amp; Luzi, 2020,). Les modèles en circulation, malgré leur prétention à l’universel sont porteurs de références culturelles et de cadres cognitifs particuliers. Ils privilégient des sources et des cadres normatifs propres à leur univers symbolique et social. Tant et si bien que lorsqu’on adopte une technologie, on adopte par le fait même, qu’on le sache ou non, la culture, les références, les pratiques induites… de son fabricant. Bien entendu, tout dépend ensuite du comportement de l’agent. Soit, il l’intègre et l’érige en modèle absolu ou type-idéal, sans le discuter. Soit, il se l’approprie en en détournant les usages et les fonctions ou plus fondamentalement en le recréant à partir de ses propres références culturelles, ses cadres cognitifs, et/ou à partir de ses besoins et ses attentes spécifiques. Quoi qu’il en soit, il ne faut pas perdre de vue que tout modèle, qu’il soit descriptif, normatif-analytique, type-idéal ou purement normatif à imiter, selon les catégories de Jean-François Ménard (2006), aspire à s’imposer comme modèle de référence, même, et à plus forte raison, en situation de concurrence. Mais l’on sait aussi que, qu’on le veuille ou non, l’adoption d’un modèle implique toujours aussi des déviances et des appropriations. On assiste souvent à une reconstruction initiale puis à un éloignement (Darbon, 2009) au point où le modèle importé devient ni plus ni moins « </w:t>
      </w:r>
      <w:r w:rsidRPr="00175D0B">
        <w:rPr>
          <w:rFonts w:ascii="Times New Roman" w:hAnsi="Times New Roman" w:cs="Times New Roman"/>
          <w:i/>
          <w:iCs/>
        </w:rPr>
        <w:t>the way we do things here</w:t>
      </w:r>
      <w:r w:rsidRPr="00175D0B">
        <w:rPr>
          <w:rFonts w:ascii="Times New Roman" w:hAnsi="Times New Roman" w:cs="Times New Roman"/>
        </w:rPr>
        <w:t> », comme le souligne Richard Rose (1991, 29).</w:t>
      </w:r>
    </w:p>
    <w:p w14:paraId="2AD0A092" w14:textId="7777777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 xml:space="preserve">Les approches critiques issues des pensées postcoloniale et décoloniale permettent d’éclairer ces ambivalences. Se plaçant du point de vue des logiques globales liées à la régulation politique et sociale favorisée par le transfert de modèles, elles révèlent la persistance de mécanismes de domination hérités de l’histoire coloniale participant de la mise en forme des représentations sociales par la fabrique sociale locale et, à ce titre, contribue à la cannibalisation des modèles locaux. Appliquée au domaine du numérique et de l’IA, la pensée décoloniale invite à voir reproduites dans les infrastructures numériques, ces logiques à l’œuvre dans l’extractivisme des données, la concentration algorithmique, la gouvernance des plateformes (Quijano, 2000 ; Mignolo &amp; Walsh, 2018). La fracture numérique, loin de se réduire à une question d’accès technique, renvoie à des inégalités culturelles, linguistiques et épistémiques </w:t>
      </w:r>
      <w:r w:rsidRPr="00175D0B">
        <w:rPr>
          <w:rFonts w:ascii="Times New Roman" w:hAnsi="Times New Roman" w:cs="Times New Roman"/>
        </w:rPr>
        <w:lastRenderedPageBreak/>
        <w:t>qui maintiennent des populations entières à la marge des dispositifs numériques (Oyedemi &amp; Choung, 2020).</w:t>
      </w:r>
    </w:p>
    <w:p w14:paraId="20ACC60D" w14:textId="7777777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La pensée décoloniale montre en même temps que ces technologies ne sont pas uniquement des instruments de reproduction des hiérarchies globales. Elles constituent également des espaces de réinvention et de résistance. Dans de nombreux contextes, des initiatives citoyennes et communautaires mobilisent le numérique pour défendre des savoirs locaux, réaffirmer des identités culturelles et expérimenter des formes alternatives de gouvernance. L’activisme numérique, les radios communautaires, les réseaux citoyens ou encore les usages créatifs des plateformes témoignent de la capacité des acteurs à détourner et se réapproprier le numérique (Castells, 2012 ; Escobar, 2018).</w:t>
      </w:r>
    </w:p>
    <w:p w14:paraId="1F369F5D" w14:textId="7777777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L’innovation frugale (Radjou, Prabhu &amp; Ahuja, 2012), qui s’appuie sur la créativité contextuelle et les ressources locales, illustre cette réinvention. Qu’il s’agisse des Fab Labs africains (Nkoudou, 2022), des systèmes de paiement mobile ou des cartographies participatives autochtones (Damome, Akam et Kiyindou, 2019), ces pratiques montrent que d’autres formes de technologies, adaptées aux contextes et pensées pour les besoins des communautés, sont possibles (Kiyindou, Damome et Akam, 2022).</w:t>
      </w:r>
    </w:p>
    <w:p w14:paraId="0D8C86EF" w14:textId="7777777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Enfin, la question de l’éducation et de la transmission critique des savoirs demeure centrale. Inspirées par les pédagogies critiques (Freire, 2013), des pratiques éducatives et participatives visent à dépasser une vision techniciste pour développer une appropriation réflexive et émancipatrice du numérique. Loin d’un simple apprentissage technique, il s’agit de construire une capacité collective à interroger les logiques de surveillance, de dépendance et d’exclusion, et à imaginer des alternatives (Santos, 2011).</w:t>
      </w:r>
    </w:p>
    <w:p w14:paraId="632131A0" w14:textId="7777777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Ce colloque se propose d’explorer ces tensions, en croisant approches critiques, études de terrain et perspectives théoriques sur l’intelligence artificielle, les technologies numériques et leurs usages dans la communication, la gouvernance et le développement.</w:t>
      </w:r>
    </w:p>
    <w:p w14:paraId="0B79A6D0" w14:textId="77777777" w:rsidR="001576F1" w:rsidRPr="00175D0B" w:rsidRDefault="001576F1" w:rsidP="001576F1">
      <w:pPr>
        <w:spacing w:after="120"/>
        <w:jc w:val="both"/>
        <w:rPr>
          <w:rFonts w:ascii="Times New Roman" w:hAnsi="Times New Roman" w:cs="Times New Roman"/>
        </w:rPr>
      </w:pPr>
    </w:p>
    <w:p w14:paraId="55012B50" w14:textId="77777777" w:rsidR="001576F1" w:rsidRPr="00175D0B" w:rsidRDefault="001576F1" w:rsidP="001576F1">
      <w:pPr>
        <w:spacing w:after="120"/>
        <w:jc w:val="both"/>
        <w:rPr>
          <w:rFonts w:ascii="Times New Roman" w:hAnsi="Times New Roman" w:cs="Times New Roman"/>
          <w:b/>
          <w:bCs/>
        </w:rPr>
      </w:pPr>
      <w:r w:rsidRPr="00175D0B">
        <w:rPr>
          <w:rFonts w:ascii="Times New Roman" w:hAnsi="Times New Roman" w:cs="Times New Roman"/>
          <w:b/>
          <w:bCs/>
        </w:rPr>
        <w:t>Axes thématiques</w:t>
      </w:r>
    </w:p>
    <w:p w14:paraId="28E78D48" w14:textId="77777777" w:rsidR="001576F1" w:rsidRPr="00175D0B" w:rsidRDefault="001576F1" w:rsidP="001576F1">
      <w:pPr>
        <w:spacing w:after="240"/>
        <w:jc w:val="both"/>
        <w:rPr>
          <w:rFonts w:ascii="Times New Roman" w:hAnsi="Times New Roman" w:cs="Times New Roman"/>
        </w:rPr>
      </w:pPr>
      <w:r w:rsidRPr="00175D0B">
        <w:rPr>
          <w:rFonts w:ascii="Times New Roman" w:hAnsi="Times New Roman" w:cs="Times New Roman"/>
        </w:rPr>
        <w:t>Les propositions pourront s’inscrire dans les axes suivants :</w:t>
      </w:r>
    </w:p>
    <w:p w14:paraId="5623C83D" w14:textId="77777777" w:rsidR="001576F1" w:rsidRPr="00B92B13" w:rsidRDefault="001576F1" w:rsidP="001576F1">
      <w:pPr>
        <w:pStyle w:val="Paragraphedeliste"/>
        <w:numPr>
          <w:ilvl w:val="0"/>
          <w:numId w:val="16"/>
        </w:numPr>
        <w:spacing w:after="240" w:line="240" w:lineRule="auto"/>
        <w:jc w:val="both"/>
        <w:rPr>
          <w:rFonts w:ascii="Times New Roman" w:hAnsi="Times New Roman" w:cs="Times New Roman"/>
          <w:sz w:val="24"/>
          <w:szCs w:val="24"/>
        </w:rPr>
      </w:pPr>
      <w:r>
        <w:rPr>
          <w:rFonts w:ascii="Times New Roman" w:hAnsi="Times New Roman" w:cs="Times New Roman"/>
          <w:b/>
          <w:bCs/>
          <w:sz w:val="24"/>
          <w:szCs w:val="24"/>
        </w:rPr>
        <w:t>G</w:t>
      </w:r>
      <w:r w:rsidRPr="00B92B13">
        <w:rPr>
          <w:rFonts w:ascii="Times New Roman" w:hAnsi="Times New Roman" w:cs="Times New Roman"/>
          <w:b/>
          <w:bCs/>
          <w:sz w:val="24"/>
          <w:szCs w:val="24"/>
        </w:rPr>
        <w:t>ouvernance</w:t>
      </w:r>
      <w:r>
        <w:rPr>
          <w:rFonts w:ascii="Times New Roman" w:hAnsi="Times New Roman" w:cs="Times New Roman"/>
          <w:b/>
          <w:bCs/>
          <w:sz w:val="24"/>
          <w:szCs w:val="24"/>
        </w:rPr>
        <w:t>,</w:t>
      </w:r>
      <w:r w:rsidRPr="00B92B13">
        <w:rPr>
          <w:rFonts w:ascii="Times New Roman" w:hAnsi="Times New Roman" w:cs="Times New Roman"/>
          <w:b/>
          <w:bCs/>
          <w:sz w:val="24"/>
          <w:szCs w:val="24"/>
        </w:rPr>
        <w:t xml:space="preserve"> circulation des savoirs</w:t>
      </w:r>
      <w:r>
        <w:rPr>
          <w:rFonts w:ascii="Times New Roman" w:hAnsi="Times New Roman" w:cs="Times New Roman"/>
          <w:b/>
          <w:bCs/>
          <w:sz w:val="24"/>
          <w:szCs w:val="24"/>
        </w:rPr>
        <w:t>,</w:t>
      </w:r>
      <w:r w:rsidRPr="00B92B13">
        <w:rPr>
          <w:rFonts w:ascii="Times New Roman" w:hAnsi="Times New Roman" w:cs="Times New Roman"/>
          <w:b/>
          <w:bCs/>
          <w:sz w:val="24"/>
          <w:szCs w:val="24"/>
        </w:rPr>
        <w:t xml:space="preserve"> </w:t>
      </w:r>
      <w:r>
        <w:rPr>
          <w:rFonts w:ascii="Times New Roman" w:hAnsi="Times New Roman" w:cs="Times New Roman"/>
          <w:b/>
          <w:bCs/>
          <w:sz w:val="24"/>
          <w:szCs w:val="24"/>
        </w:rPr>
        <w:t>s</w:t>
      </w:r>
      <w:r w:rsidRPr="00B92B13">
        <w:rPr>
          <w:rFonts w:ascii="Times New Roman" w:hAnsi="Times New Roman" w:cs="Times New Roman"/>
          <w:b/>
          <w:bCs/>
          <w:sz w:val="24"/>
          <w:szCs w:val="24"/>
        </w:rPr>
        <w:t>ouveraineté</w:t>
      </w:r>
      <w:r>
        <w:rPr>
          <w:rFonts w:ascii="Times New Roman" w:hAnsi="Times New Roman" w:cs="Times New Roman"/>
          <w:b/>
          <w:bCs/>
          <w:sz w:val="24"/>
          <w:szCs w:val="24"/>
        </w:rPr>
        <w:t xml:space="preserve"> </w:t>
      </w:r>
      <w:r w:rsidRPr="00B92B13">
        <w:rPr>
          <w:rFonts w:ascii="Times New Roman" w:hAnsi="Times New Roman" w:cs="Times New Roman"/>
          <w:b/>
          <w:bCs/>
          <w:sz w:val="24"/>
          <w:szCs w:val="24"/>
        </w:rPr>
        <w:t>des données</w:t>
      </w:r>
    </w:p>
    <w:p w14:paraId="35C5B822" w14:textId="77777777" w:rsidR="001576F1" w:rsidRPr="00175D0B" w:rsidRDefault="001576F1" w:rsidP="001576F1">
      <w:pPr>
        <w:spacing w:after="240"/>
        <w:jc w:val="both"/>
        <w:rPr>
          <w:rFonts w:ascii="Times New Roman" w:hAnsi="Times New Roman" w:cs="Times New Roman"/>
        </w:rPr>
      </w:pPr>
      <w:r w:rsidRPr="00175D0B">
        <w:rPr>
          <w:rFonts w:ascii="Times New Roman" w:hAnsi="Times New Roman" w:cs="Times New Roman"/>
        </w:rPr>
        <w:t xml:space="preserve">Cet axe interroge </w:t>
      </w:r>
      <w:r>
        <w:rPr>
          <w:rFonts w:ascii="Times New Roman" w:hAnsi="Times New Roman" w:cs="Times New Roman"/>
        </w:rPr>
        <w:t xml:space="preserve">dans un premier temps </w:t>
      </w:r>
      <w:r w:rsidRPr="00175D0B">
        <w:rPr>
          <w:rFonts w:ascii="Times New Roman" w:hAnsi="Times New Roman" w:cs="Times New Roman"/>
        </w:rPr>
        <w:t>la manière dont les technologies numériques façonnent les régimes de gouvernance et participent à la hiérarchisation ou à la circulation des savoirs. Les plateformes globales, dominées par quelques multinationales, exercent consciemment ou inconsciemment un pouvoir de sélection et de visibilité qui contribue à l’invisibilisation de savoirs locaux, de langues minoritaires ou de récits alternatifs. Dans le même temps, des expériences communautaires de gouvernance numérique montrent que des modèles de circulation des savoirs plus horizontaux sont possibles. Les communications pourront explorer la tension entre hégémonie et alternatives dans les politiques, dispositifs et infrastructures du numérique.</w:t>
      </w:r>
    </w:p>
    <w:p w14:paraId="7D35C05F" w14:textId="77777777" w:rsidR="001576F1" w:rsidRPr="00175D0B" w:rsidRDefault="001576F1" w:rsidP="001576F1">
      <w:pPr>
        <w:spacing w:after="240"/>
        <w:jc w:val="both"/>
        <w:rPr>
          <w:rFonts w:ascii="Times New Roman" w:hAnsi="Times New Roman" w:cs="Times New Roman"/>
        </w:rPr>
      </w:pPr>
      <w:r w:rsidRPr="00175D0B">
        <w:rPr>
          <w:rFonts w:ascii="Times New Roman" w:hAnsi="Times New Roman" w:cs="Times New Roman"/>
        </w:rPr>
        <w:lastRenderedPageBreak/>
        <w:t>La fracture numérique dont il est question ne se réduit pas à l’infrastructure (accès à Internet, aux équipements), elle recoupe aussi des inégalités culturelles, linguistiques et épistémiques. Les technologies globales sont souvent conçues sans prise en compte des réalités locales, contribuant à marginaliser des communautés entières. Cet axe explore donc également comment ces fractures renforcent des exclusions déjà héritées du colonialisme. Les communications pourront également montrer comment des initiatives éducatives, culturelles ou citoyennes cherchent à réduire les inégalités. Les communications pourront, par exemple, analyser la faible connectivité dans les écoles rurales, l’absence de contenus numériques dans certaines langues, ou encore l’impact de l’exclusion numérique sur la participation civique et culturelle.</w:t>
      </w:r>
    </w:p>
    <w:p w14:paraId="1221FC6B" w14:textId="77777777" w:rsidR="001576F1" w:rsidRPr="00175D0B" w:rsidRDefault="001576F1" w:rsidP="001576F1">
      <w:pPr>
        <w:spacing w:after="240"/>
        <w:jc w:val="both"/>
        <w:rPr>
          <w:rFonts w:ascii="Times New Roman" w:hAnsi="Times New Roman" w:cs="Times New Roman"/>
        </w:rPr>
      </w:pPr>
      <w:r w:rsidRPr="00175D0B">
        <w:rPr>
          <w:rFonts w:ascii="Times New Roman" w:hAnsi="Times New Roman" w:cs="Times New Roman"/>
        </w:rPr>
        <w:t xml:space="preserve">Cet axe invite </w:t>
      </w:r>
      <w:r>
        <w:rPr>
          <w:rFonts w:ascii="Times New Roman" w:hAnsi="Times New Roman" w:cs="Times New Roman"/>
        </w:rPr>
        <w:t xml:space="preserve">par ailleurs </w:t>
      </w:r>
      <w:r w:rsidRPr="00175D0B">
        <w:rPr>
          <w:rFonts w:ascii="Times New Roman" w:hAnsi="Times New Roman" w:cs="Times New Roman"/>
        </w:rPr>
        <w:t>à interroger les enjeux de souveraineté numérique : comment redonner aux communautés et aux États la maîtrise de la collecte, du stockage et de l’exploitation des données ? L’on peut regretter ce qui est appelé « colonialité des données » c’est-à-dire la captation massive des traces numériques par des acteurs globaux, souvent au détriment des pays du Sud. Cette situation pose un double problème : d’une part, elle limite la capacité des pays concernés à développer leurs propres stratégies de valorisation des données ; d’autre part, elle alimente une dépendance structurelle vis-à-vis d’acteurs privés transnationaux qui imposent leurs normes, leurs infrastructures et leurs logiques commerciales. Il s’agit donc de réfléchir à la mise en place de cadres de gouvernance qui garantissent la protection des données personnelles, la transparence des usages et l’accès équitable aux ressources numériques. Cela suppose aussi d’investir dans des infrastructures locales – centres de données, solutions de cloud souverain, réseaux sécurisés – qui soient adaptées aux contextes culturels, linguistiques et socio-économiques des pays du Sud. Quelles alternatives locales émergent pour construire des infrastructures respectueuses des droits, de l’éthique et des besoins locaux ?</w:t>
      </w:r>
    </w:p>
    <w:p w14:paraId="3CDD4ABF" w14:textId="77777777" w:rsidR="001576F1" w:rsidRPr="00175D0B" w:rsidRDefault="001576F1" w:rsidP="001576F1">
      <w:pPr>
        <w:pStyle w:val="Paragraphedeliste"/>
        <w:numPr>
          <w:ilvl w:val="0"/>
          <w:numId w:val="16"/>
        </w:numPr>
        <w:spacing w:after="240" w:line="240" w:lineRule="auto"/>
        <w:jc w:val="both"/>
        <w:rPr>
          <w:rFonts w:ascii="Times New Roman" w:hAnsi="Times New Roman" w:cs="Times New Roman"/>
          <w:sz w:val="24"/>
          <w:szCs w:val="24"/>
        </w:rPr>
      </w:pPr>
      <w:r w:rsidRPr="00175D0B">
        <w:rPr>
          <w:rFonts w:ascii="Times New Roman" w:hAnsi="Times New Roman" w:cs="Times New Roman"/>
          <w:b/>
          <w:bCs/>
          <w:sz w:val="24"/>
          <w:szCs w:val="24"/>
        </w:rPr>
        <w:t>Épistémologies et pédagogies critiques du numérique</w:t>
      </w:r>
    </w:p>
    <w:p w14:paraId="10894BDE" w14:textId="77777777" w:rsidR="001576F1" w:rsidRPr="00175D0B" w:rsidRDefault="001576F1" w:rsidP="001576F1">
      <w:pPr>
        <w:spacing w:after="240"/>
        <w:jc w:val="both"/>
        <w:rPr>
          <w:rFonts w:ascii="Times New Roman" w:hAnsi="Times New Roman" w:cs="Times New Roman"/>
        </w:rPr>
      </w:pPr>
      <w:r w:rsidRPr="00175D0B">
        <w:rPr>
          <w:rFonts w:ascii="Times New Roman" w:hAnsi="Times New Roman" w:cs="Times New Roman"/>
        </w:rPr>
        <w:t>Cet axe s’intéresse au dépassement de la vision techniciste de l’apprentissage numérique pour développer des capacités critiques, permettant d’interroger les logiques d’exclusion, de surveillance et de domination. Il invite à la réflexion à des pratiques éducatives et de recherche qui rendent les communautés actrices dans l’appropriation technologique. Les communications pourront analyser des expériences d’éducation populaire, d’universités communautaires ou de dispositifs participatifs de formation, où le numérique devient outil de conscientisation et de libération.</w:t>
      </w:r>
    </w:p>
    <w:p w14:paraId="7E304C40" w14:textId="77777777" w:rsidR="001576F1" w:rsidRPr="00175D0B" w:rsidRDefault="001576F1" w:rsidP="001576F1">
      <w:pPr>
        <w:spacing w:after="240"/>
        <w:jc w:val="both"/>
        <w:rPr>
          <w:rFonts w:ascii="Times New Roman" w:hAnsi="Times New Roman" w:cs="Times New Roman"/>
        </w:rPr>
      </w:pPr>
      <w:r w:rsidRPr="00175D0B">
        <w:rPr>
          <w:rFonts w:ascii="Times New Roman" w:hAnsi="Times New Roman" w:cs="Times New Roman"/>
        </w:rPr>
        <w:t>Mais cet axe vise également à susciter une réflexion autour des savoirs situés. Partant du constat des risques liés à la reproduction des biais culturels, linguistiques et sociaux, de surveillance accrue et d’extractivisme des données, il s’agit d’interroger les logiques d’inégalités et de marginalisation et en même temps que les formes de résistances et d’appropriations critiques du numérique et de l’IA. Il invite à explorer les alternatives possibles vers une IA éthique qui intègre des épistémologies et des valeurs issues des Suds. Les communications pourront porter aussi bien sur des approches théoriques que sur des études de cas, notamment dans les domaines de la gouvernance, de la santé, de l’éducation, de la culture ou des mobilisations citoyennes.</w:t>
      </w:r>
    </w:p>
    <w:p w14:paraId="1DEA33D4" w14:textId="79DC081D" w:rsidR="001576F1" w:rsidRPr="00175D0B" w:rsidRDefault="001576F1" w:rsidP="001576F1">
      <w:pPr>
        <w:pStyle w:val="Paragraphedeliste"/>
        <w:numPr>
          <w:ilvl w:val="0"/>
          <w:numId w:val="16"/>
        </w:numPr>
        <w:spacing w:after="240" w:line="240" w:lineRule="auto"/>
        <w:jc w:val="both"/>
        <w:rPr>
          <w:rFonts w:ascii="Times New Roman" w:hAnsi="Times New Roman" w:cs="Times New Roman"/>
          <w:sz w:val="24"/>
          <w:szCs w:val="24"/>
        </w:rPr>
      </w:pPr>
      <w:r w:rsidRPr="00175D0B">
        <w:rPr>
          <w:rFonts w:ascii="Times New Roman" w:hAnsi="Times New Roman" w:cs="Times New Roman"/>
          <w:b/>
          <w:bCs/>
          <w:sz w:val="24"/>
          <w:szCs w:val="24"/>
        </w:rPr>
        <w:lastRenderedPageBreak/>
        <w:t>Innovation frugale et technodiversité</w:t>
      </w:r>
    </w:p>
    <w:p w14:paraId="3CD31A2B" w14:textId="77777777" w:rsidR="001576F1" w:rsidRPr="00175D0B" w:rsidRDefault="001576F1" w:rsidP="001576F1">
      <w:pPr>
        <w:spacing w:after="240"/>
        <w:jc w:val="both"/>
        <w:rPr>
          <w:rFonts w:ascii="Times New Roman" w:hAnsi="Times New Roman" w:cs="Times New Roman"/>
        </w:rPr>
      </w:pPr>
      <w:r w:rsidRPr="00175D0B">
        <w:rPr>
          <w:rFonts w:ascii="Times New Roman" w:hAnsi="Times New Roman" w:cs="Times New Roman"/>
        </w:rPr>
        <w:t>L’innovation frugale désigne la capacité à inventer des solutions efficaces dans des contextes de ressources limitées, souvent à travers le recyclage, le bricolage ou les pratiques collectives d’ingéniosité. Cet axe met en valeur des expériences comme les Fab Labs, les systèmes de paiement mobile ou encore les cartographies participatives autochtones. Ces pratiques permettent de repenser le numérique à partir des besoins situés et d’inscrire la technologie dans une logique d’autonomie, de justice sociale et de créativité populaire. Les communications pourront aborder ces initiatives comme des alternatives crédibles au modèle dominant d’innovation capitalistique et énergivore.</w:t>
      </w:r>
    </w:p>
    <w:p w14:paraId="099FA869" w14:textId="77777777" w:rsidR="001576F1" w:rsidRPr="00175D0B" w:rsidRDefault="001576F1" w:rsidP="001576F1">
      <w:pPr>
        <w:numPr>
          <w:ilvl w:val="0"/>
          <w:numId w:val="16"/>
        </w:numPr>
        <w:spacing w:after="240"/>
        <w:jc w:val="both"/>
        <w:rPr>
          <w:rFonts w:ascii="Times New Roman" w:hAnsi="Times New Roman" w:cs="Times New Roman"/>
        </w:rPr>
      </w:pPr>
      <w:r w:rsidRPr="00175D0B">
        <w:rPr>
          <w:rFonts w:ascii="Times New Roman" w:hAnsi="Times New Roman" w:cs="Times New Roman"/>
          <w:b/>
          <w:bCs/>
        </w:rPr>
        <w:t>Activismes et résistances numériques</w:t>
      </w:r>
    </w:p>
    <w:p w14:paraId="4D0C6DE1" w14:textId="77777777" w:rsidR="001576F1" w:rsidRPr="00175D0B" w:rsidRDefault="001576F1" w:rsidP="001576F1">
      <w:pPr>
        <w:spacing w:after="240"/>
        <w:jc w:val="both"/>
        <w:rPr>
          <w:rFonts w:ascii="Times New Roman" w:hAnsi="Times New Roman" w:cs="Times New Roman"/>
        </w:rPr>
      </w:pPr>
      <w:r w:rsidRPr="00175D0B">
        <w:rPr>
          <w:rFonts w:ascii="Times New Roman" w:hAnsi="Times New Roman" w:cs="Times New Roman"/>
        </w:rPr>
        <w:t>Les technologies numériques sont aussi utilisées comme instruments de résistance et de mobilisation politique. Cet axe s’intéresse aux pratiques d’activisme numérique qui mobilisent les réseaux sociaux pour contester les pouvoirs établis, revendiquer des droits ou construire de nouvelles formes de subjectivité collective. Il met également en lumière les stratégies de détournement ou d’infra-politique qui permettent à des groupes marginalisés d’utiliser le numérique comme espace de communication autonome, hors des logiques dominantes. Les contributions pourront analyser ces expériences comme des formes d’appropriation du numérique, productrices de contre-discours et de nouvelles pratiques de gouvernance citoyenne.</w:t>
      </w:r>
    </w:p>
    <w:p w14:paraId="70E0313E" w14:textId="4A59C5C9" w:rsidR="001576F1" w:rsidRPr="00B92B13" w:rsidRDefault="001576F1" w:rsidP="001576F1">
      <w:pPr>
        <w:pStyle w:val="Paragraphedeliste"/>
        <w:numPr>
          <w:ilvl w:val="0"/>
          <w:numId w:val="16"/>
        </w:numPr>
        <w:spacing w:after="160" w:line="259" w:lineRule="auto"/>
        <w:rPr>
          <w:rFonts w:ascii="Times New Roman" w:hAnsi="Times New Roman" w:cs="Times New Roman"/>
          <w:b/>
          <w:bCs/>
          <w:sz w:val="24"/>
          <w:szCs w:val="24"/>
        </w:rPr>
      </w:pPr>
      <w:r w:rsidRPr="00B92B13">
        <w:rPr>
          <w:rFonts w:ascii="Times New Roman" w:hAnsi="Times New Roman" w:cs="Times New Roman"/>
          <w:b/>
          <w:bCs/>
          <w:sz w:val="24"/>
          <w:szCs w:val="24"/>
        </w:rPr>
        <w:t>Cultures, savoirs endogènes et anthropologie de l’IA</w:t>
      </w:r>
      <w:r w:rsidR="004C325F">
        <w:rPr>
          <w:rFonts w:ascii="Times New Roman" w:hAnsi="Times New Roman" w:cs="Times New Roman"/>
          <w:b/>
          <w:bCs/>
          <w:sz w:val="24"/>
          <w:szCs w:val="24"/>
        </w:rPr>
        <w:t> </w:t>
      </w:r>
      <w:r w:rsidRPr="00B92B13">
        <w:rPr>
          <w:rFonts w:ascii="Times New Roman" w:hAnsi="Times New Roman" w:cs="Times New Roman"/>
          <w:b/>
          <w:bCs/>
          <w:sz w:val="24"/>
          <w:szCs w:val="24"/>
        </w:rPr>
        <w:t>: pouvoirs, résistances et imaginaires</w:t>
      </w:r>
    </w:p>
    <w:p w14:paraId="63CE15ED" w14:textId="77777777" w:rsidR="001576F1" w:rsidRPr="00F04A6D" w:rsidRDefault="001576F1" w:rsidP="001576F1">
      <w:pPr>
        <w:spacing w:after="120"/>
        <w:jc w:val="both"/>
        <w:rPr>
          <w:rFonts w:ascii="Times New Roman" w:eastAsia="Times New Roman" w:hAnsi="Times New Roman" w:cs="Times New Roman"/>
          <w:lang w:eastAsia="fr-FR"/>
        </w:rPr>
      </w:pPr>
      <w:r w:rsidRPr="00F04A6D">
        <w:rPr>
          <w:rFonts w:ascii="Times New Roman" w:eastAsia="Times New Roman" w:hAnsi="Times New Roman" w:cs="Times New Roman"/>
          <w:lang w:eastAsia="fr-FR"/>
        </w:rPr>
        <w:t>Cet axe propose d’interroger les usages de l’intelligence artificielle et des technologies numériques dans les domaines de la culture, des pratiques anthropologiques et des savoirs endogènes. Il s’agit de comprendre comment l’IA reconfigure la production culturelle, les dynamiques sociales et les formes de connaissance locales, tout en suscitant des résistances et de nouveaux imaginaires.</w:t>
      </w:r>
      <w:r>
        <w:rPr>
          <w:rFonts w:ascii="Times New Roman" w:eastAsia="Times New Roman" w:hAnsi="Times New Roman" w:cs="Times New Roman"/>
          <w:lang w:eastAsia="fr-FR"/>
        </w:rPr>
        <w:t xml:space="preserve"> </w:t>
      </w:r>
      <w:r w:rsidRPr="00F04A6D">
        <w:rPr>
          <w:rFonts w:ascii="Times New Roman" w:eastAsia="Times New Roman" w:hAnsi="Times New Roman" w:cs="Times New Roman"/>
          <w:lang w:eastAsia="fr-FR"/>
        </w:rPr>
        <w:t>Sur le plan culturel, l’IA transforme les modes de création et de diffusion des œuvres, tout en soulevant le risque d’une homogénéisation des imaginaires, comme l’ont montré Lev Manovich (2001) dans ses travaux sur la culture numérique et Shoshana Zuboff (2019) sur l’économie de la surveillance.</w:t>
      </w:r>
    </w:p>
    <w:p w14:paraId="742C0F6B" w14:textId="77777777" w:rsidR="001576F1" w:rsidRPr="00F04A6D" w:rsidRDefault="001576F1" w:rsidP="001576F1">
      <w:pPr>
        <w:spacing w:after="120"/>
        <w:jc w:val="both"/>
        <w:rPr>
          <w:rFonts w:ascii="Times New Roman" w:eastAsia="Times New Roman" w:hAnsi="Times New Roman" w:cs="Times New Roman"/>
          <w:lang w:eastAsia="fr-FR"/>
        </w:rPr>
      </w:pPr>
      <w:r w:rsidRPr="00F04A6D">
        <w:rPr>
          <w:rFonts w:ascii="Times New Roman" w:eastAsia="Times New Roman" w:hAnsi="Times New Roman" w:cs="Times New Roman"/>
          <w:lang w:eastAsia="fr-FR"/>
        </w:rPr>
        <w:t>Dans une perspective anthropologique, il convient d’examiner comment les communautés locales s’approprient, détournent ou résistent aux usages imposés des technologies, rejoignant ainsi les approches de Clifford Geertz (1973) sur l’interprétation des cultures et de Tim Ingold (2011) sur l’anthropologie du vivant.</w:t>
      </w:r>
      <w:r>
        <w:rPr>
          <w:rFonts w:ascii="Times New Roman" w:eastAsia="Times New Roman" w:hAnsi="Times New Roman" w:cs="Times New Roman"/>
          <w:lang w:eastAsia="fr-FR"/>
        </w:rPr>
        <w:t xml:space="preserve"> </w:t>
      </w:r>
      <w:r w:rsidRPr="00F04A6D">
        <w:rPr>
          <w:rFonts w:ascii="Times New Roman" w:eastAsia="Times New Roman" w:hAnsi="Times New Roman" w:cs="Times New Roman"/>
          <w:lang w:eastAsia="fr-FR"/>
        </w:rPr>
        <w:t>Les innovations liées à l’IA rencontrent également les savoirs endogènes. Achille Mbembe (2020) et Souleymane Bachir Diagne (2011) insistent sur l’importance de penser des hybridations entre techniques contemporaines et pratiques traditionnelles (santé, agriculture, artisanat, rituels), ouvrant la voie à une réflexion sur des épistémologies africaines et situées.</w:t>
      </w:r>
    </w:p>
    <w:p w14:paraId="59587268" w14:textId="77777777" w:rsidR="001576F1" w:rsidRPr="00F04A6D" w:rsidRDefault="001576F1" w:rsidP="001576F1">
      <w:pPr>
        <w:spacing w:after="120"/>
        <w:jc w:val="both"/>
        <w:rPr>
          <w:rFonts w:ascii="Times New Roman" w:eastAsia="Times New Roman" w:hAnsi="Times New Roman" w:cs="Times New Roman"/>
          <w:lang w:eastAsia="fr-FR"/>
        </w:rPr>
      </w:pPr>
      <w:r w:rsidRPr="00F04A6D">
        <w:rPr>
          <w:rFonts w:ascii="Times New Roman" w:eastAsia="Times New Roman" w:hAnsi="Times New Roman" w:cs="Times New Roman"/>
          <w:lang w:eastAsia="fr-FR"/>
        </w:rPr>
        <w:t>Cet axe se veut aussi critique</w:t>
      </w:r>
      <w:r>
        <w:rPr>
          <w:rFonts w:ascii="Times New Roman" w:eastAsia="Times New Roman" w:hAnsi="Times New Roman" w:cs="Times New Roman"/>
          <w:lang w:eastAsia="fr-FR"/>
        </w:rPr>
        <w:t>.</w:t>
      </w:r>
      <w:r w:rsidRPr="00F04A6D">
        <w:rPr>
          <w:rFonts w:ascii="Times New Roman" w:eastAsia="Times New Roman" w:hAnsi="Times New Roman" w:cs="Times New Roman"/>
          <w:lang w:eastAsia="fr-FR"/>
        </w:rPr>
        <w:t xml:space="preserve"> Dominique Cardon (2015), Cathy O’Neil (2016) et Ruha Benjamin (2019) ont montré combien les algorithmes peuvent reproduire des biais, renforcer </w:t>
      </w:r>
      <w:r w:rsidRPr="00F04A6D">
        <w:rPr>
          <w:rFonts w:ascii="Times New Roman" w:eastAsia="Times New Roman" w:hAnsi="Times New Roman" w:cs="Times New Roman"/>
          <w:lang w:eastAsia="fr-FR"/>
        </w:rPr>
        <w:lastRenderedPageBreak/>
        <w:t>les inégalités et alimenter la surveillance. Pourtant, ces mêmes outils peuvent aussi servir à imaginer des alternatives éthiques, inclusives et locales.</w:t>
      </w:r>
    </w:p>
    <w:p w14:paraId="3129E769" w14:textId="77777777" w:rsidR="001576F1" w:rsidRDefault="001576F1" w:rsidP="001576F1">
      <w:pPr>
        <w:spacing w:after="120"/>
        <w:jc w:val="both"/>
        <w:rPr>
          <w:rFonts w:ascii="Times New Roman" w:eastAsia="Times New Roman" w:hAnsi="Times New Roman" w:cs="Times New Roman"/>
          <w:lang w:eastAsia="fr-FR"/>
        </w:rPr>
      </w:pPr>
      <w:r w:rsidRPr="00F04A6D">
        <w:rPr>
          <w:rFonts w:ascii="Times New Roman" w:eastAsia="Times New Roman" w:hAnsi="Times New Roman" w:cs="Times New Roman"/>
          <w:lang w:eastAsia="fr-FR"/>
        </w:rPr>
        <w:t xml:space="preserve">Enfin, l’IA engage des </w:t>
      </w:r>
      <w:r w:rsidRPr="00B92B13">
        <w:rPr>
          <w:rFonts w:ascii="Times New Roman" w:eastAsia="Times New Roman" w:hAnsi="Times New Roman" w:cs="Times New Roman"/>
          <w:lang w:eastAsia="fr-FR"/>
        </w:rPr>
        <w:t>prospectives et des imaginaires</w:t>
      </w:r>
      <w:r>
        <w:rPr>
          <w:rFonts w:ascii="Times New Roman" w:eastAsia="Times New Roman" w:hAnsi="Times New Roman" w:cs="Times New Roman"/>
          <w:lang w:eastAsia="fr-FR"/>
        </w:rPr>
        <w:t>.</w:t>
      </w:r>
      <w:r w:rsidRPr="00F04A6D">
        <w:rPr>
          <w:rFonts w:ascii="Times New Roman" w:eastAsia="Times New Roman" w:hAnsi="Times New Roman" w:cs="Times New Roman"/>
          <w:lang w:eastAsia="fr-FR"/>
        </w:rPr>
        <w:t xml:space="preserve"> Donna Haraway (1991) et Yuk Hui (2016) nous invitent à penser des futurs technologiques pluriels, non réductibles à une vision occidentalo-centrée, mais ouverts aux récits endogènes et aux mythologies locales.</w:t>
      </w:r>
      <w:r>
        <w:rPr>
          <w:rFonts w:ascii="Times New Roman" w:eastAsia="Times New Roman" w:hAnsi="Times New Roman" w:cs="Times New Roman"/>
          <w:lang w:eastAsia="fr-FR"/>
        </w:rPr>
        <w:t xml:space="preserve"> </w:t>
      </w:r>
      <w:r w:rsidRPr="00F04A6D">
        <w:rPr>
          <w:rFonts w:ascii="Times New Roman" w:eastAsia="Times New Roman" w:hAnsi="Times New Roman" w:cs="Times New Roman"/>
          <w:lang w:eastAsia="fr-FR"/>
        </w:rPr>
        <w:t xml:space="preserve">Ainsi, cet axe propose de croiser les regards sur l’IA à partir des </w:t>
      </w:r>
      <w:r w:rsidRPr="00B92B13">
        <w:rPr>
          <w:rFonts w:ascii="Times New Roman" w:eastAsia="Times New Roman" w:hAnsi="Times New Roman" w:cs="Times New Roman"/>
          <w:lang w:eastAsia="fr-FR"/>
        </w:rPr>
        <w:t>cultures, savoirs endogènes et pratiques anthropologiques</w:t>
      </w:r>
      <w:r w:rsidRPr="00F04A6D">
        <w:rPr>
          <w:rFonts w:ascii="Times New Roman" w:eastAsia="Times New Roman" w:hAnsi="Times New Roman" w:cs="Times New Roman"/>
          <w:lang w:eastAsia="fr-FR"/>
        </w:rPr>
        <w:t>, afin d’en révéler les pouvoirs, les résistances et les horizons d’innovation.</w:t>
      </w:r>
    </w:p>
    <w:p w14:paraId="2F9F62A4" w14:textId="77777777" w:rsidR="001576F1" w:rsidRPr="00175D0B" w:rsidRDefault="001576F1" w:rsidP="001576F1">
      <w:pPr>
        <w:spacing w:after="120"/>
        <w:jc w:val="both"/>
        <w:rPr>
          <w:rFonts w:ascii="Times New Roman" w:hAnsi="Times New Roman" w:cs="Times New Roman"/>
        </w:rPr>
      </w:pPr>
    </w:p>
    <w:p w14:paraId="1097E999" w14:textId="77777777" w:rsidR="001576F1" w:rsidRPr="00175D0B" w:rsidRDefault="001576F1" w:rsidP="001576F1">
      <w:pPr>
        <w:spacing w:after="120"/>
        <w:jc w:val="both"/>
        <w:rPr>
          <w:rFonts w:ascii="Times New Roman" w:hAnsi="Times New Roman" w:cs="Times New Roman"/>
          <w:b/>
          <w:bCs/>
        </w:rPr>
      </w:pPr>
      <w:r w:rsidRPr="00175D0B">
        <w:rPr>
          <w:rFonts w:ascii="Times New Roman" w:hAnsi="Times New Roman" w:cs="Times New Roman"/>
          <w:b/>
          <w:bCs/>
        </w:rPr>
        <w:t>Modalités de soumission</w:t>
      </w:r>
    </w:p>
    <w:p w14:paraId="2EE95904" w14:textId="604525CE"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 xml:space="preserve">Les propositions de communication </w:t>
      </w:r>
      <w:r w:rsidR="00715A1C">
        <w:rPr>
          <w:rFonts w:ascii="Times New Roman" w:hAnsi="Times New Roman" w:cs="Times New Roman"/>
        </w:rPr>
        <w:t xml:space="preserve">d’environ 3000 signes, </w:t>
      </w:r>
      <w:r w:rsidRPr="00175D0B">
        <w:rPr>
          <w:rFonts w:ascii="Times New Roman" w:hAnsi="Times New Roman" w:cs="Times New Roman"/>
        </w:rPr>
        <w:t>hors bibliographie</w:t>
      </w:r>
      <w:r w:rsidR="00715A1C">
        <w:rPr>
          <w:rFonts w:ascii="Times New Roman" w:hAnsi="Times New Roman" w:cs="Times New Roman"/>
        </w:rPr>
        <w:t>,</w:t>
      </w:r>
      <w:r w:rsidRPr="00175D0B">
        <w:rPr>
          <w:rFonts w:ascii="Times New Roman" w:hAnsi="Times New Roman" w:cs="Times New Roman"/>
        </w:rPr>
        <w:t xml:space="preserve"> devront être soumises au plus tard le </w:t>
      </w:r>
      <w:r w:rsidR="009F5493">
        <w:rPr>
          <w:rFonts w:ascii="Times New Roman" w:hAnsi="Times New Roman" w:cs="Times New Roman"/>
        </w:rPr>
        <w:t>30</w:t>
      </w:r>
      <w:r w:rsidRPr="00175D0B">
        <w:rPr>
          <w:rFonts w:ascii="Times New Roman" w:hAnsi="Times New Roman" w:cs="Times New Roman"/>
        </w:rPr>
        <w:t xml:space="preserve"> décembre 2025. Elles doivent préciser l’axe thématique choisi, le cadre disciplinaire et théorique mobilisé, les questions de recherche, la méthodologie et, le cas échéant, les terrains étudiés.</w:t>
      </w:r>
    </w:p>
    <w:p w14:paraId="4908BE67" w14:textId="7777777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Chaque soumission devra également comporter les éléments suivants : nom et prénom de l’auteur, adresse électronique, statut académique ou professionnel, affiliation institutionnelle, une notice biographique d’environ cinq lignes, le titre de la communication ainsi qu’une liste de mots-clés.</w:t>
      </w:r>
    </w:p>
    <w:p w14:paraId="6F7D47FD" w14:textId="77777777" w:rsidR="001576F1" w:rsidRPr="00175D0B" w:rsidRDefault="001576F1" w:rsidP="001576F1">
      <w:pPr>
        <w:spacing w:after="120"/>
        <w:jc w:val="both"/>
        <w:rPr>
          <w:rFonts w:ascii="Times New Roman" w:hAnsi="Times New Roman" w:cs="Times New Roman"/>
        </w:rPr>
      </w:pPr>
    </w:p>
    <w:p w14:paraId="343F9532" w14:textId="77777777" w:rsidR="001576F1" w:rsidRPr="00175D0B" w:rsidRDefault="001576F1" w:rsidP="001576F1">
      <w:pPr>
        <w:spacing w:after="120"/>
        <w:jc w:val="both"/>
        <w:rPr>
          <w:rFonts w:ascii="Times New Roman" w:hAnsi="Times New Roman" w:cs="Times New Roman"/>
          <w:b/>
          <w:bCs/>
        </w:rPr>
      </w:pPr>
      <w:r w:rsidRPr="00175D0B">
        <w:rPr>
          <w:rFonts w:ascii="Times New Roman" w:hAnsi="Times New Roman" w:cs="Times New Roman"/>
          <w:b/>
          <w:bCs/>
        </w:rPr>
        <w:t>Calendrier</w:t>
      </w:r>
    </w:p>
    <w:p w14:paraId="064B6261" w14:textId="08E70F7C" w:rsidR="001576F1" w:rsidRPr="00175D0B" w:rsidRDefault="00A16838" w:rsidP="001576F1">
      <w:pPr>
        <w:spacing w:after="120"/>
        <w:jc w:val="both"/>
        <w:rPr>
          <w:rFonts w:ascii="Times New Roman" w:hAnsi="Times New Roman" w:cs="Times New Roman"/>
        </w:rPr>
      </w:pPr>
      <w:r>
        <w:rPr>
          <w:rFonts w:ascii="Times New Roman" w:hAnsi="Times New Roman" w:cs="Times New Roman"/>
        </w:rPr>
        <w:t>30</w:t>
      </w:r>
      <w:r w:rsidR="001576F1" w:rsidRPr="00175D0B">
        <w:rPr>
          <w:rFonts w:ascii="Times New Roman" w:hAnsi="Times New Roman" w:cs="Times New Roman"/>
        </w:rPr>
        <w:t xml:space="preserve"> décembre 2025 : date limite d’envoi des propositions </w:t>
      </w:r>
      <w:r w:rsidR="007971D2">
        <w:t xml:space="preserve">à l'adresse </w:t>
      </w:r>
      <w:hyperlink r:id="rId7" w:tgtFrame="_blank" w:history="1">
        <w:r w:rsidR="007971D2">
          <w:rPr>
            <w:rStyle w:val="Lienhypertexte"/>
          </w:rPr>
          <w:t>https://iatnpri.sciencesconf.org</w:t>
        </w:r>
      </w:hyperlink>
    </w:p>
    <w:p w14:paraId="1509D418" w14:textId="73ACCFDC" w:rsidR="001576F1" w:rsidRDefault="001576F1" w:rsidP="001576F1">
      <w:pPr>
        <w:spacing w:after="120"/>
        <w:jc w:val="both"/>
        <w:rPr>
          <w:rFonts w:ascii="Times New Roman" w:hAnsi="Times New Roman" w:cs="Times New Roman"/>
        </w:rPr>
      </w:pPr>
      <w:r w:rsidRPr="00175D0B">
        <w:rPr>
          <w:rFonts w:ascii="Times New Roman" w:hAnsi="Times New Roman" w:cs="Times New Roman"/>
        </w:rPr>
        <w:t xml:space="preserve">20 janvier 2026 : </w:t>
      </w:r>
      <w:r w:rsidR="00A16838">
        <w:rPr>
          <w:rFonts w:ascii="Times New Roman" w:hAnsi="Times New Roman" w:cs="Times New Roman"/>
        </w:rPr>
        <w:t>d</w:t>
      </w:r>
      <w:r w:rsidR="00A16838" w:rsidRPr="00A16838">
        <w:rPr>
          <w:rFonts w:ascii="Times New Roman" w:hAnsi="Times New Roman" w:cs="Times New Roman"/>
        </w:rPr>
        <w:t>ate de notification de la décision</w:t>
      </w:r>
      <w:r w:rsidR="00A16838">
        <w:rPr>
          <w:rFonts w:ascii="Times New Roman" w:hAnsi="Times New Roman" w:cs="Times New Roman"/>
        </w:rPr>
        <w:t xml:space="preserve"> </w:t>
      </w:r>
      <w:r w:rsidRPr="00175D0B">
        <w:rPr>
          <w:rFonts w:ascii="Times New Roman" w:hAnsi="Times New Roman" w:cs="Times New Roman"/>
        </w:rPr>
        <w:t>aux auteurs</w:t>
      </w:r>
    </w:p>
    <w:p w14:paraId="351A60AE" w14:textId="77777777" w:rsidR="001576F1" w:rsidRPr="00175D0B" w:rsidRDefault="001576F1" w:rsidP="001576F1">
      <w:pPr>
        <w:spacing w:after="120"/>
        <w:jc w:val="both"/>
        <w:rPr>
          <w:rFonts w:ascii="Times New Roman" w:hAnsi="Times New Roman" w:cs="Times New Roman"/>
        </w:rPr>
      </w:pPr>
    </w:p>
    <w:p w14:paraId="4FFBC362" w14:textId="77777777" w:rsidR="001576F1" w:rsidRPr="00175D0B" w:rsidRDefault="001576F1" w:rsidP="001576F1">
      <w:pPr>
        <w:spacing w:after="120"/>
        <w:jc w:val="both"/>
        <w:rPr>
          <w:rFonts w:ascii="Times New Roman" w:hAnsi="Times New Roman" w:cs="Times New Roman"/>
          <w:b/>
          <w:bCs/>
        </w:rPr>
      </w:pPr>
      <w:r w:rsidRPr="00175D0B">
        <w:rPr>
          <w:rFonts w:ascii="Times New Roman" w:hAnsi="Times New Roman" w:cs="Times New Roman"/>
          <w:b/>
          <w:bCs/>
        </w:rPr>
        <w:t>Informations pratiques</w:t>
      </w:r>
    </w:p>
    <w:p w14:paraId="08836E15" w14:textId="18971B0E"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 xml:space="preserve">Le colloque est prévu le </w:t>
      </w:r>
      <w:r w:rsidRPr="00175D0B">
        <w:rPr>
          <w:rFonts w:ascii="Times New Roman" w:hAnsi="Times New Roman" w:cs="Times New Roman"/>
          <w:b/>
          <w:bCs/>
        </w:rPr>
        <w:t>20, 21 et 22 mai 2026</w:t>
      </w:r>
      <w:r w:rsidR="00522CF1">
        <w:rPr>
          <w:rFonts w:ascii="Times New Roman" w:hAnsi="Times New Roman" w:cs="Times New Roman"/>
          <w:b/>
          <w:bCs/>
        </w:rPr>
        <w:t xml:space="preserve"> à Bordeaux</w:t>
      </w:r>
    </w:p>
    <w:p w14:paraId="3522C930" w14:textId="56C0D64C"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 xml:space="preserve">Une publication collective de </w:t>
      </w:r>
      <w:r w:rsidR="00A16838">
        <w:rPr>
          <w:rFonts w:ascii="Times New Roman" w:hAnsi="Times New Roman" w:cs="Times New Roman"/>
        </w:rPr>
        <w:t xml:space="preserve">textes issus des discussions lors du colloque </w:t>
      </w:r>
      <w:r w:rsidRPr="00175D0B">
        <w:rPr>
          <w:rFonts w:ascii="Times New Roman" w:hAnsi="Times New Roman" w:cs="Times New Roman"/>
        </w:rPr>
        <w:t>est prévue.</w:t>
      </w:r>
    </w:p>
    <w:p w14:paraId="128CFAB3" w14:textId="44E3A332" w:rsidR="001576F1" w:rsidRDefault="001576F1" w:rsidP="001576F1">
      <w:pPr>
        <w:spacing w:after="120"/>
        <w:jc w:val="both"/>
        <w:rPr>
          <w:rFonts w:ascii="Times New Roman" w:hAnsi="Times New Roman" w:cs="Times New Roman"/>
        </w:rPr>
      </w:pPr>
    </w:p>
    <w:p w14:paraId="460EB7B7" w14:textId="2150ECEC" w:rsidR="00FF7B48" w:rsidRDefault="00FF7B48" w:rsidP="00FF7B48">
      <w:pPr>
        <w:spacing w:after="120"/>
        <w:rPr>
          <w:rFonts w:ascii="Times New Roman" w:hAnsi="Times New Roman" w:cs="Times New Roman"/>
          <w:b/>
        </w:rPr>
      </w:pPr>
      <w:r w:rsidRPr="00FF7B48">
        <w:rPr>
          <w:rFonts w:ascii="Times New Roman" w:hAnsi="Times New Roman" w:cs="Times New Roman"/>
          <w:bCs/>
        </w:rPr>
        <w:t>L’inscription au colloque</w:t>
      </w:r>
      <w:r w:rsidRPr="00581506">
        <w:rPr>
          <w:rFonts w:ascii="Times New Roman" w:hAnsi="Times New Roman" w:cs="Times New Roman"/>
          <w:bCs/>
        </w:rPr>
        <w:t xml:space="preserve"> </w:t>
      </w:r>
      <w:r>
        <w:rPr>
          <w:rFonts w:ascii="Times New Roman" w:hAnsi="Times New Roman" w:cs="Times New Roman"/>
          <w:bCs/>
        </w:rPr>
        <w:t>s</w:t>
      </w:r>
      <w:r w:rsidRPr="00581506">
        <w:rPr>
          <w:rFonts w:ascii="Times New Roman" w:hAnsi="Times New Roman" w:cs="Times New Roman"/>
          <w:bCs/>
        </w:rPr>
        <w:t>e fera</w:t>
      </w:r>
      <w:r w:rsidR="007E3358">
        <w:rPr>
          <w:rFonts w:ascii="Times New Roman" w:hAnsi="Times New Roman" w:cs="Times New Roman"/>
          <w:bCs/>
        </w:rPr>
        <w:t xml:space="preserve"> à partir du 1</w:t>
      </w:r>
      <w:r w:rsidR="007E3358" w:rsidRPr="007E3358">
        <w:rPr>
          <w:rFonts w:ascii="Times New Roman" w:hAnsi="Times New Roman" w:cs="Times New Roman"/>
          <w:bCs/>
          <w:vertAlign w:val="superscript"/>
        </w:rPr>
        <w:t>er</w:t>
      </w:r>
      <w:r w:rsidR="007E3358">
        <w:rPr>
          <w:rFonts w:ascii="Times New Roman" w:hAnsi="Times New Roman" w:cs="Times New Roman"/>
          <w:bCs/>
        </w:rPr>
        <w:t xml:space="preserve"> février 2026 </w:t>
      </w:r>
      <w:r w:rsidRPr="00581506">
        <w:rPr>
          <w:rFonts w:ascii="Times New Roman" w:hAnsi="Times New Roman" w:cs="Times New Roman"/>
          <w:bCs/>
        </w:rPr>
        <w:t>sur</w:t>
      </w:r>
      <w:r>
        <w:rPr>
          <w:rFonts w:ascii="Times New Roman" w:hAnsi="Times New Roman" w:cs="Times New Roman"/>
          <w:b/>
        </w:rPr>
        <w:t xml:space="preserve"> </w:t>
      </w:r>
      <w:hyperlink r:id="rId8" w:tgtFrame="_blank" w:history="1">
        <w:r>
          <w:rPr>
            <w:rStyle w:val="Lienhypertexte"/>
          </w:rPr>
          <w:t>https://iatnpri.sciencesconf.org</w:t>
        </w:r>
      </w:hyperlink>
    </w:p>
    <w:p w14:paraId="3DAAC07F" w14:textId="77777777" w:rsidR="00FF7B48" w:rsidRDefault="00FF7B48" w:rsidP="00FF7B48">
      <w:pPr>
        <w:spacing w:after="120"/>
        <w:rPr>
          <w:rFonts w:ascii="Times New Roman" w:hAnsi="Times New Roman" w:cs="Times New Roman"/>
          <w:b/>
        </w:rPr>
      </w:pPr>
      <w:r w:rsidRPr="00FF7B48">
        <w:rPr>
          <w:rFonts w:ascii="Times New Roman" w:hAnsi="Times New Roman" w:cs="Times New Roman"/>
          <w:bCs/>
        </w:rPr>
        <w:t>Des frais de participation</w:t>
      </w:r>
      <w:r>
        <w:rPr>
          <w:rFonts w:ascii="Times New Roman" w:hAnsi="Times New Roman" w:cs="Times New Roman"/>
          <w:b/>
        </w:rPr>
        <w:t xml:space="preserve"> </w:t>
      </w:r>
      <w:r w:rsidRPr="00581506">
        <w:rPr>
          <w:rFonts w:ascii="Times New Roman" w:hAnsi="Times New Roman" w:cs="Times New Roman"/>
          <w:bCs/>
        </w:rPr>
        <w:t>sont prévus en fonction de votre statut, de votre provenance et de la modalité de votre participation</w:t>
      </w:r>
    </w:p>
    <w:p w14:paraId="5DD20620" w14:textId="77777777" w:rsidR="00FF7B48" w:rsidRPr="00175D0B" w:rsidRDefault="00FF7B48" w:rsidP="001576F1">
      <w:pPr>
        <w:spacing w:after="120"/>
        <w:jc w:val="both"/>
        <w:rPr>
          <w:rFonts w:ascii="Times New Roman" w:hAnsi="Times New Roman" w:cs="Times New Roman"/>
        </w:rPr>
      </w:pPr>
    </w:p>
    <w:p w14:paraId="457A6AB6" w14:textId="77777777" w:rsidR="001576F1" w:rsidRPr="00175D0B" w:rsidRDefault="001576F1" w:rsidP="001576F1">
      <w:pPr>
        <w:spacing w:after="120"/>
        <w:jc w:val="both"/>
        <w:rPr>
          <w:rFonts w:ascii="Times New Roman" w:hAnsi="Times New Roman" w:cs="Times New Roman"/>
          <w:b/>
          <w:bCs/>
        </w:rPr>
      </w:pPr>
      <w:r w:rsidRPr="00175D0B">
        <w:rPr>
          <w:rFonts w:ascii="Times New Roman" w:hAnsi="Times New Roman" w:cs="Times New Roman"/>
          <w:b/>
          <w:bCs/>
        </w:rPr>
        <w:t>Contact</w:t>
      </w:r>
    </w:p>
    <w:p w14:paraId="045C9F1D" w14:textId="7777777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Etienne Damome</w:t>
      </w:r>
    </w:p>
    <w:p w14:paraId="7050CA96" w14:textId="77777777" w:rsidR="001576F1" w:rsidRPr="00175D0B" w:rsidRDefault="00AE2A66" w:rsidP="001576F1">
      <w:pPr>
        <w:spacing w:after="120"/>
        <w:jc w:val="both"/>
        <w:rPr>
          <w:rFonts w:ascii="Times New Roman" w:hAnsi="Times New Roman" w:cs="Times New Roman"/>
        </w:rPr>
      </w:pPr>
      <w:hyperlink r:id="rId9" w:history="1">
        <w:r w:rsidR="001576F1" w:rsidRPr="00175D0B">
          <w:rPr>
            <w:rStyle w:val="Lienhypertexte"/>
            <w:rFonts w:ascii="Times New Roman" w:hAnsi="Times New Roman" w:cs="Times New Roman"/>
          </w:rPr>
          <w:t>etienne.damome@u-bordeaux-montaigne.fr</w:t>
        </w:r>
      </w:hyperlink>
    </w:p>
    <w:p w14:paraId="6678DF64" w14:textId="77777777" w:rsidR="001576F1" w:rsidRPr="00175D0B" w:rsidRDefault="001576F1" w:rsidP="001576F1">
      <w:pPr>
        <w:spacing w:after="120"/>
        <w:jc w:val="both"/>
        <w:rPr>
          <w:rFonts w:ascii="Times New Roman" w:hAnsi="Times New Roman" w:cs="Times New Roman"/>
        </w:rPr>
      </w:pPr>
    </w:p>
    <w:p w14:paraId="461EE5C1" w14:textId="77777777" w:rsidR="001576F1" w:rsidRPr="00D94E0C" w:rsidRDefault="001576F1" w:rsidP="001576F1">
      <w:pPr>
        <w:spacing w:after="120"/>
        <w:jc w:val="both"/>
        <w:rPr>
          <w:rFonts w:ascii="Times New Roman" w:hAnsi="Times New Roman" w:cs="Times New Roman"/>
          <w:b/>
          <w:bCs/>
          <w:sz w:val="28"/>
          <w:szCs w:val="28"/>
        </w:rPr>
      </w:pPr>
      <w:r w:rsidRPr="00D94E0C">
        <w:rPr>
          <w:rFonts w:ascii="Times New Roman" w:hAnsi="Times New Roman" w:cs="Times New Roman"/>
          <w:b/>
          <w:bCs/>
          <w:sz w:val="28"/>
          <w:szCs w:val="28"/>
        </w:rPr>
        <w:t>Comité scientifique</w:t>
      </w:r>
    </w:p>
    <w:p w14:paraId="2A610291" w14:textId="095D0BB5"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Agbobli Christian, Université du Québec à Montréal, Canada</w:t>
      </w:r>
    </w:p>
    <w:p w14:paraId="66AC4C44" w14:textId="581268AC"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Akam Noble, Université Bordeaux Montaigne, France</w:t>
      </w:r>
    </w:p>
    <w:p w14:paraId="7AF6B380" w14:textId="0DC2FA31"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Amador Bautista Rocío, Universidad Nacional Autónoma de México, Mexico</w:t>
      </w:r>
    </w:p>
    <w:p w14:paraId="65513DCB" w14:textId="1A4B9608"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Anaté Kouméalo, Université de Lomé, Togo</w:t>
      </w:r>
    </w:p>
    <w:p w14:paraId="78BC7E2B" w14:textId="18F05539" w:rsidR="001576F1" w:rsidRPr="00175D0B" w:rsidRDefault="001576F1" w:rsidP="001576F1">
      <w:pPr>
        <w:spacing w:after="120"/>
        <w:rPr>
          <w:rFonts w:ascii="Times New Roman" w:eastAsia="Times New Roman" w:hAnsi="Times New Roman" w:cs="Times New Roman"/>
          <w:lang w:eastAsia="fr-FR"/>
        </w:rPr>
      </w:pPr>
      <w:r w:rsidRPr="00175D0B">
        <w:rPr>
          <w:rFonts w:ascii="Times New Roman" w:eastAsia="Times New Roman" w:hAnsi="Times New Roman" w:cs="Times New Roman"/>
          <w:lang w:eastAsia="fr-FR"/>
        </w:rPr>
        <w:t>Bogui Jean-Jacques, Université Houphouët Boigny de Cocody, Côte d’Ivoire</w:t>
      </w:r>
    </w:p>
    <w:p w14:paraId="72412743" w14:textId="7643B849"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Cabedoche Bertrand, Université de Grenoble, France</w:t>
      </w:r>
    </w:p>
    <w:p w14:paraId="488C280E" w14:textId="7777777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Cyrulnik Natacha, Université Aix-Marseille, France</w:t>
      </w:r>
    </w:p>
    <w:p w14:paraId="43E97E86" w14:textId="5F2CFD68"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Darmawan Deni,</w:t>
      </w:r>
      <w:r w:rsidRPr="00175D0B" w:rsidDel="002A5029">
        <w:rPr>
          <w:rFonts w:ascii="Times New Roman" w:hAnsi="Times New Roman" w:cs="Times New Roman"/>
        </w:rPr>
        <w:t xml:space="preserve"> </w:t>
      </w:r>
      <w:r w:rsidRPr="00175D0B">
        <w:rPr>
          <w:rFonts w:ascii="Times New Roman" w:hAnsi="Times New Roman" w:cs="Times New Roman"/>
        </w:rPr>
        <w:t>University Pankasira, Indonesia</w:t>
      </w:r>
    </w:p>
    <w:p w14:paraId="6FA7A18F" w14:textId="64E68395"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Deneuville Allan, Université Bordeaux Montaigne, France</w:t>
      </w:r>
    </w:p>
    <w:p w14:paraId="0CEDE4B6" w14:textId="32A4012A"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Ekambo Jean Chréti</w:t>
      </w:r>
      <w:r w:rsidR="00BB3FA4">
        <w:rPr>
          <w:rFonts w:ascii="Times New Roman" w:hAnsi="Times New Roman" w:cs="Times New Roman"/>
        </w:rPr>
        <w:t>en</w:t>
      </w:r>
      <w:r w:rsidRPr="00175D0B">
        <w:rPr>
          <w:rFonts w:ascii="Times New Roman" w:hAnsi="Times New Roman" w:cs="Times New Roman"/>
        </w:rPr>
        <w:t>, Université de Kinshasa, RDC</w:t>
      </w:r>
    </w:p>
    <w:p w14:paraId="1D6BD40A" w14:textId="7777777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Faisal Bakti Andi, Universitas Pancasila Jakarta, Indonesia</w:t>
      </w:r>
    </w:p>
    <w:p w14:paraId="4CB246C5" w14:textId="45D70EF8"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Gardère Elizabeth, Université de Bordeaux, France</w:t>
      </w:r>
    </w:p>
    <w:p w14:paraId="6E51C3D0" w14:textId="7777777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Halimi Suzy, Université Paris Sorbone Nouvelle, France</w:t>
      </w:r>
    </w:p>
    <w:p w14:paraId="51D1F102" w14:textId="4A9CB7DB"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 xml:space="preserve">Herra Agilar Miriam, </w:t>
      </w:r>
      <w:r w:rsidRPr="00175D0B">
        <w:rPr>
          <w:rFonts w:ascii="Times New Roman" w:hAnsi="Times New Roman" w:cs="Times New Roman"/>
          <w:color w:val="0D0D0D"/>
          <w:lang w:val="es-ES"/>
        </w:rPr>
        <w:t>Universidad Autónoma de Querétaro, Mexique</w:t>
      </w:r>
    </w:p>
    <w:p w14:paraId="4CC62983" w14:textId="114E5FC4" w:rsidR="007E73B0" w:rsidRDefault="007E73B0" w:rsidP="001576F1">
      <w:pPr>
        <w:spacing w:after="120"/>
        <w:jc w:val="both"/>
        <w:rPr>
          <w:rFonts w:ascii="Times New Roman" w:hAnsi="Times New Roman" w:cs="Times New Roman"/>
        </w:rPr>
      </w:pPr>
      <w:r>
        <w:rPr>
          <w:rFonts w:ascii="Times New Roman" w:hAnsi="Times New Roman" w:cs="Times New Roman"/>
        </w:rPr>
        <w:t>Kane Aminata, EBAD-Université Cheik Anta Diop de Dakar, Sénégal</w:t>
      </w:r>
    </w:p>
    <w:p w14:paraId="7E17A9AC" w14:textId="4C03E71D"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Kazadi Dikanga</w:t>
      </w:r>
      <w:r w:rsidRPr="00175D0B" w:rsidDel="002A5029">
        <w:rPr>
          <w:rFonts w:ascii="Times New Roman" w:hAnsi="Times New Roman" w:cs="Times New Roman"/>
        </w:rPr>
        <w:t xml:space="preserve"> </w:t>
      </w:r>
      <w:r w:rsidR="00BB3FA4">
        <w:rPr>
          <w:rFonts w:ascii="Times New Roman" w:hAnsi="Times New Roman" w:cs="Times New Roman"/>
        </w:rPr>
        <w:t>Jean Marie</w:t>
      </w:r>
      <w:r w:rsidRPr="00175D0B">
        <w:rPr>
          <w:rFonts w:ascii="Times New Roman" w:hAnsi="Times New Roman" w:cs="Times New Roman"/>
        </w:rPr>
        <w:t>, Université de Lubumbashi, République Démocratique du Congo</w:t>
      </w:r>
    </w:p>
    <w:p w14:paraId="6CD5246B" w14:textId="71AB7D99" w:rsidR="001576F1" w:rsidRPr="00175D0B" w:rsidRDefault="001576F1" w:rsidP="001576F1">
      <w:pPr>
        <w:spacing w:after="120"/>
        <w:rPr>
          <w:rFonts w:ascii="Times New Roman" w:eastAsia="Times New Roman" w:hAnsi="Times New Roman" w:cs="Times New Roman"/>
          <w:lang w:eastAsia="fr-FR"/>
        </w:rPr>
      </w:pPr>
      <w:r w:rsidRPr="00175D0B">
        <w:rPr>
          <w:rFonts w:ascii="Times New Roman" w:eastAsia="Times New Roman" w:hAnsi="Times New Roman" w:cs="Times New Roman"/>
          <w:lang w:eastAsia="fr-FR"/>
        </w:rPr>
        <w:t>Kemly Camacho, Université de San José, Costa Rica</w:t>
      </w:r>
    </w:p>
    <w:p w14:paraId="47E2FD4E" w14:textId="20FE96EB"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Kiriya Ilia, Université de Grenoble, France</w:t>
      </w:r>
    </w:p>
    <w:p w14:paraId="6A1C6A7B" w14:textId="78517EC3"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Kiyindou Alain, Université Bordeaux Montaigne, France</w:t>
      </w:r>
    </w:p>
    <w:p w14:paraId="5F2DE605" w14:textId="1978823C"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Laborde Aurélie, Université Bordeaux Montaigne, France</w:t>
      </w:r>
    </w:p>
    <w:p w14:paraId="510ED6B1" w14:textId="739AF465" w:rsidR="00322DB6" w:rsidRDefault="00322DB6" w:rsidP="001576F1">
      <w:pPr>
        <w:spacing w:after="120"/>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Lakel Amar, </w:t>
      </w:r>
      <w:r w:rsidRPr="00175D0B">
        <w:rPr>
          <w:rFonts w:ascii="Times New Roman" w:hAnsi="Times New Roman" w:cs="Times New Roman"/>
        </w:rPr>
        <w:t>Université Bordeaux Montaigne, France</w:t>
      </w:r>
    </w:p>
    <w:p w14:paraId="7EDE38E3" w14:textId="65F05C39" w:rsidR="001576F1" w:rsidRPr="00175D0B" w:rsidRDefault="001576F1" w:rsidP="001576F1">
      <w:pPr>
        <w:spacing w:after="120"/>
        <w:rPr>
          <w:rFonts w:ascii="Times New Roman" w:eastAsia="Times New Roman" w:hAnsi="Times New Roman" w:cs="Times New Roman"/>
          <w:lang w:eastAsia="fr-FR"/>
        </w:rPr>
      </w:pPr>
      <w:r w:rsidRPr="00175D0B">
        <w:rPr>
          <w:rFonts w:ascii="Times New Roman" w:eastAsia="Times New Roman" w:hAnsi="Times New Roman" w:cs="Times New Roman"/>
          <w:lang w:eastAsia="fr-FR"/>
        </w:rPr>
        <w:t>Lehmans Anne, Université de Bordeaux, France</w:t>
      </w:r>
    </w:p>
    <w:p w14:paraId="2E394BF6" w14:textId="2712C51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Lenoble-Bart Annie, Université Bordeaux Montaigne, France</w:t>
      </w:r>
    </w:p>
    <w:p w14:paraId="6723DAA1" w14:textId="2C142A78"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Liquète Vincent, Université de Bordeaux, France</w:t>
      </w:r>
    </w:p>
    <w:p w14:paraId="65875084" w14:textId="77777777" w:rsidR="001576F1" w:rsidRPr="00175D0B" w:rsidRDefault="001576F1" w:rsidP="001576F1">
      <w:pPr>
        <w:spacing w:after="120"/>
        <w:rPr>
          <w:rFonts w:ascii="Times New Roman" w:eastAsia="Times New Roman" w:hAnsi="Times New Roman" w:cs="Times New Roman"/>
          <w:lang w:eastAsia="fr-FR"/>
        </w:rPr>
      </w:pPr>
      <w:r w:rsidRPr="00175D0B">
        <w:rPr>
          <w:rFonts w:ascii="Times New Roman" w:eastAsia="Times New Roman" w:hAnsi="Times New Roman" w:cs="Times New Roman"/>
          <w:lang w:eastAsia="fr-FR"/>
        </w:rPr>
        <w:t>Manuel Alexandro Gerrerro, Universidad Iberoamericana, Mexique</w:t>
      </w:r>
    </w:p>
    <w:p w14:paraId="1328C5BA" w14:textId="1AE6833F" w:rsidR="001576F1" w:rsidRPr="00175D0B" w:rsidRDefault="001576F1" w:rsidP="001576F1">
      <w:pPr>
        <w:spacing w:after="120"/>
        <w:rPr>
          <w:rFonts w:ascii="Times New Roman" w:eastAsia="Times New Roman" w:hAnsi="Times New Roman" w:cs="Times New Roman"/>
          <w:lang w:eastAsia="fr-FR"/>
        </w:rPr>
      </w:pPr>
      <w:r w:rsidRPr="00175D0B">
        <w:rPr>
          <w:rFonts w:ascii="Times New Roman" w:eastAsia="Times New Roman" w:hAnsi="Times New Roman" w:cs="Times New Roman"/>
          <w:lang w:eastAsia="fr-FR"/>
        </w:rPr>
        <w:t>Mustapha</w:t>
      </w:r>
      <w:r w:rsidR="00920765">
        <w:rPr>
          <w:rFonts w:ascii="Times New Roman" w:eastAsia="Times New Roman" w:hAnsi="Times New Roman" w:cs="Times New Roman"/>
          <w:lang w:eastAsia="fr-FR"/>
        </w:rPr>
        <w:t xml:space="preserve"> El Hadi</w:t>
      </w:r>
      <w:r w:rsidRPr="00175D0B">
        <w:rPr>
          <w:rFonts w:ascii="Times New Roman" w:eastAsia="Times New Roman" w:hAnsi="Times New Roman" w:cs="Times New Roman"/>
          <w:lang w:eastAsia="fr-FR"/>
        </w:rPr>
        <w:t xml:space="preserve"> Widad, Université de Lille, </w:t>
      </w:r>
      <w:r w:rsidRPr="00175D0B" w:rsidDel="002A5029">
        <w:rPr>
          <w:rFonts w:ascii="Times New Roman" w:eastAsia="Times New Roman" w:hAnsi="Times New Roman" w:cs="Times New Roman"/>
          <w:lang w:eastAsia="fr-FR"/>
        </w:rPr>
        <w:t>France</w:t>
      </w:r>
    </w:p>
    <w:p w14:paraId="1E362805" w14:textId="77777777" w:rsidR="001576F1" w:rsidRPr="00175D0B" w:rsidRDefault="001576F1" w:rsidP="001576F1">
      <w:pPr>
        <w:spacing w:after="120"/>
        <w:rPr>
          <w:rFonts w:ascii="Times New Roman" w:eastAsia="Times New Roman" w:hAnsi="Times New Roman" w:cs="Times New Roman"/>
          <w:lang w:eastAsia="fr-FR"/>
        </w:rPr>
      </w:pPr>
      <w:r w:rsidRPr="00175D0B">
        <w:rPr>
          <w:rFonts w:ascii="Times New Roman" w:eastAsia="Times New Roman" w:hAnsi="Times New Roman" w:cs="Times New Roman"/>
          <w:lang w:eastAsia="fr-FR"/>
        </w:rPr>
        <w:t>Naji Jamal Eddine, Université de Rabat, Maroc</w:t>
      </w:r>
    </w:p>
    <w:p w14:paraId="1EAA0B2E" w14:textId="7777777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Ndiaye Marième Pollèle, Université Gaston Berger, Sénégal</w:t>
      </w:r>
    </w:p>
    <w:p w14:paraId="7C7BA27F" w14:textId="540048A9" w:rsidR="001576F1" w:rsidRPr="00175D0B" w:rsidRDefault="001576F1" w:rsidP="001576F1">
      <w:pPr>
        <w:spacing w:after="120"/>
        <w:jc w:val="both"/>
        <w:rPr>
          <w:rFonts w:ascii="Times New Roman" w:hAnsi="Times New Roman" w:cs="Times New Roman"/>
          <w:lang w:val="en-US"/>
        </w:rPr>
      </w:pPr>
      <w:r w:rsidRPr="00175D0B">
        <w:rPr>
          <w:rFonts w:ascii="Times New Roman" w:hAnsi="Times New Roman" w:cs="Times New Roman"/>
          <w:lang w:val="en-US"/>
        </w:rPr>
        <w:t>Nsude Ifeyinwa, Ebonyi State University, Nigeria</w:t>
      </w:r>
    </w:p>
    <w:p w14:paraId="2E15EA95" w14:textId="27B6831C"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lastRenderedPageBreak/>
        <w:t>Pascal Catherine, Université Bordeaux Montaigne, France</w:t>
      </w:r>
    </w:p>
    <w:p w14:paraId="19D52721" w14:textId="4A649A43"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Pate Umaru, Université de Maiduguri, Nigéria</w:t>
      </w:r>
    </w:p>
    <w:p w14:paraId="214ADE07" w14:textId="7BC2CCF4"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Perez Da Silva Babo Isabel Maria, Université Lusophone de Porto, Portugal</w:t>
      </w:r>
    </w:p>
    <w:p w14:paraId="50347F7E" w14:textId="4E2FF95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Pinède Nathali</w:t>
      </w:r>
      <w:r w:rsidRPr="00175D0B" w:rsidDel="002A5029">
        <w:rPr>
          <w:rFonts w:ascii="Times New Roman" w:hAnsi="Times New Roman" w:cs="Times New Roman"/>
        </w:rPr>
        <w:t>e</w:t>
      </w:r>
      <w:r w:rsidRPr="00175D0B">
        <w:rPr>
          <w:rFonts w:ascii="Times New Roman" w:hAnsi="Times New Roman" w:cs="Times New Roman"/>
        </w:rPr>
        <w:t>, Université Bordeaux Montaigne, France</w:t>
      </w:r>
    </w:p>
    <w:p w14:paraId="090BF385" w14:textId="5254684B" w:rsidR="001576F1" w:rsidRPr="00175D0B" w:rsidRDefault="001576F1" w:rsidP="001576F1">
      <w:pPr>
        <w:spacing w:after="120"/>
        <w:jc w:val="both"/>
        <w:rPr>
          <w:rFonts w:ascii="Times New Roman" w:hAnsi="Times New Roman" w:cs="Times New Roman"/>
          <w:lang w:val="en-US"/>
        </w:rPr>
      </w:pPr>
      <w:r w:rsidRPr="00175D0B">
        <w:rPr>
          <w:rFonts w:ascii="Times New Roman" w:hAnsi="Times New Roman" w:cs="Times New Roman"/>
          <w:lang w:val="en-US"/>
        </w:rPr>
        <w:t>Regad Halima, Université Abdelhamid Ibn Badis Mostaganem, Algérie</w:t>
      </w:r>
    </w:p>
    <w:p w14:paraId="2A89FAA0" w14:textId="37D845CC"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Rico de Sotelo Carmen, Université du Québec à Montréal, Canada</w:t>
      </w:r>
    </w:p>
    <w:p w14:paraId="0A60A6A4" w14:textId="77777777" w:rsidR="001576F1" w:rsidRPr="00175D0B" w:rsidRDefault="001576F1" w:rsidP="001576F1">
      <w:pPr>
        <w:spacing w:after="120"/>
        <w:rPr>
          <w:rFonts w:ascii="Times New Roman" w:eastAsia="Times New Roman" w:hAnsi="Times New Roman" w:cs="Times New Roman"/>
          <w:lang w:eastAsia="fr-FR"/>
        </w:rPr>
      </w:pPr>
      <w:r w:rsidRPr="00175D0B">
        <w:rPr>
          <w:rFonts w:ascii="Times New Roman" w:eastAsia="Times New Roman" w:hAnsi="Times New Roman" w:cs="Times New Roman"/>
          <w:lang w:eastAsia="fr-FR"/>
        </w:rPr>
        <w:t>Rodriguez Wanguemert Carmen, Université de la Laguna, Espagne</w:t>
      </w:r>
    </w:p>
    <w:p w14:paraId="38E5A53D" w14:textId="2CADBA30"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Rouissi Soufiane, Université Bordeaux Montaigne, France</w:t>
      </w:r>
    </w:p>
    <w:p w14:paraId="5D00EFD2" w14:textId="507B142E"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Salles Chloë, Université de Grenoble, France</w:t>
      </w:r>
    </w:p>
    <w:p w14:paraId="07FD4341" w14:textId="77777777" w:rsidR="001576F1" w:rsidRPr="00175D0B" w:rsidRDefault="001576F1" w:rsidP="001576F1">
      <w:pPr>
        <w:spacing w:after="120"/>
        <w:rPr>
          <w:rFonts w:ascii="Times New Roman" w:eastAsia="Times New Roman" w:hAnsi="Times New Roman" w:cs="Times New Roman"/>
          <w:lang w:eastAsia="fr-FR"/>
        </w:rPr>
      </w:pPr>
      <w:r w:rsidRPr="00175D0B">
        <w:rPr>
          <w:rFonts w:ascii="Times New Roman" w:eastAsia="Times New Roman" w:hAnsi="Times New Roman" w:cs="Times New Roman"/>
          <w:lang w:eastAsia="fr-FR"/>
        </w:rPr>
        <w:t>Sonhaye Sabin, Université de Lomé, Togo</w:t>
      </w:r>
    </w:p>
    <w:p w14:paraId="1A09C0AC" w14:textId="674FD73D" w:rsidR="001576F1" w:rsidRPr="00175D0B" w:rsidRDefault="001576F1" w:rsidP="001576F1">
      <w:pPr>
        <w:spacing w:after="120"/>
        <w:rPr>
          <w:rFonts w:ascii="Times New Roman" w:eastAsia="Times New Roman" w:hAnsi="Times New Roman" w:cs="Times New Roman"/>
          <w:lang w:eastAsia="fr-FR"/>
        </w:rPr>
      </w:pPr>
      <w:r w:rsidRPr="00175D0B">
        <w:rPr>
          <w:rFonts w:ascii="Times New Roman" w:eastAsia="Times New Roman" w:hAnsi="Times New Roman" w:cs="Times New Roman"/>
          <w:lang w:eastAsia="fr-FR"/>
        </w:rPr>
        <w:t>Tchehouali Destiny, Université du Québec à Montréal, Canada</w:t>
      </w:r>
    </w:p>
    <w:p w14:paraId="033158D6" w14:textId="359B85C2"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Turki Ramzi, Université de Sfax, Tunisie</w:t>
      </w:r>
    </w:p>
    <w:p w14:paraId="1729AEC2" w14:textId="2F0DB684"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Viallon Philippe, Université de Strasbourg, France</w:t>
      </w:r>
    </w:p>
    <w:p w14:paraId="352217FB" w14:textId="3B0AB64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Yao Baglo Namoin, Université de Lomé, Togo</w:t>
      </w:r>
    </w:p>
    <w:p w14:paraId="77FEB7F2" w14:textId="77777777" w:rsidR="001576F1" w:rsidRPr="00175D0B" w:rsidRDefault="001576F1" w:rsidP="001576F1">
      <w:pPr>
        <w:spacing w:after="120"/>
        <w:rPr>
          <w:rFonts w:ascii="Times New Roman" w:eastAsia="Times New Roman" w:hAnsi="Times New Roman" w:cs="Times New Roman"/>
          <w:b/>
          <w:bCs/>
          <w:lang w:eastAsia="fr-FR"/>
        </w:rPr>
      </w:pPr>
    </w:p>
    <w:p w14:paraId="01E3AEDC" w14:textId="77777777" w:rsidR="001576F1" w:rsidRPr="00175D0B" w:rsidRDefault="001576F1" w:rsidP="001576F1">
      <w:pPr>
        <w:spacing w:after="120"/>
        <w:rPr>
          <w:rFonts w:ascii="Times New Roman" w:eastAsia="Times New Roman" w:hAnsi="Times New Roman" w:cs="Times New Roman"/>
          <w:b/>
          <w:bCs/>
          <w:lang w:eastAsia="fr-FR"/>
        </w:rPr>
      </w:pPr>
      <w:r w:rsidRPr="00175D0B">
        <w:rPr>
          <w:rFonts w:ascii="Times New Roman" w:eastAsia="Times New Roman" w:hAnsi="Times New Roman" w:cs="Times New Roman"/>
          <w:b/>
          <w:bCs/>
          <w:lang w:eastAsia="fr-FR"/>
        </w:rPr>
        <w:t>Comité d’organisation</w:t>
      </w:r>
    </w:p>
    <w:p w14:paraId="16B7EFC9" w14:textId="77777777" w:rsidR="001576F1" w:rsidRPr="00B47472" w:rsidRDefault="001576F1" w:rsidP="001576F1">
      <w:pPr>
        <w:spacing w:after="120"/>
        <w:jc w:val="both"/>
        <w:rPr>
          <w:rFonts w:ascii="Times New Roman" w:eastAsia="Times New Roman" w:hAnsi="Times New Roman" w:cs="Times New Roman"/>
          <w:lang w:eastAsia="fr-FR"/>
        </w:rPr>
      </w:pPr>
      <w:bookmarkStart w:id="1" w:name="_Hlk208918554"/>
      <w:r w:rsidRPr="00B47472">
        <w:rPr>
          <w:rFonts w:ascii="Times New Roman" w:eastAsia="Times New Roman" w:hAnsi="Times New Roman" w:cs="Times New Roman"/>
          <w:lang w:eastAsia="fr-FR"/>
        </w:rPr>
        <w:t>Abdoul Diop Saidou</w:t>
      </w:r>
    </w:p>
    <w:p w14:paraId="2976BEE6" w14:textId="77777777" w:rsidR="001576F1" w:rsidRPr="00B47472" w:rsidRDefault="001576F1" w:rsidP="001576F1">
      <w:pPr>
        <w:spacing w:after="120"/>
        <w:jc w:val="both"/>
        <w:rPr>
          <w:rFonts w:ascii="Times New Roman" w:eastAsia="Times New Roman" w:hAnsi="Times New Roman" w:cs="Times New Roman"/>
          <w:lang w:eastAsia="fr-FR"/>
        </w:rPr>
      </w:pPr>
      <w:r w:rsidRPr="00B47472">
        <w:rPr>
          <w:rFonts w:ascii="Times New Roman" w:eastAsia="Times New Roman" w:hAnsi="Times New Roman" w:cs="Times New Roman"/>
          <w:lang w:eastAsia="fr-FR"/>
        </w:rPr>
        <w:t>Aidoudi Lamia</w:t>
      </w:r>
    </w:p>
    <w:p w14:paraId="4B8655F8" w14:textId="77777777" w:rsidR="001576F1" w:rsidRPr="00B47472" w:rsidRDefault="001576F1" w:rsidP="001576F1">
      <w:pPr>
        <w:spacing w:after="120"/>
        <w:jc w:val="both"/>
        <w:rPr>
          <w:rFonts w:ascii="Times New Roman" w:eastAsia="Times New Roman" w:hAnsi="Times New Roman" w:cs="Times New Roman"/>
          <w:lang w:eastAsia="fr-FR"/>
        </w:rPr>
      </w:pPr>
      <w:r w:rsidRPr="00B47472">
        <w:rPr>
          <w:rFonts w:ascii="Times New Roman" w:eastAsia="Times New Roman" w:hAnsi="Times New Roman" w:cs="Times New Roman"/>
          <w:lang w:eastAsia="fr-FR"/>
        </w:rPr>
        <w:t>Bald</w:t>
      </w:r>
      <w:r w:rsidRPr="00B47472">
        <w:rPr>
          <w:rFonts w:ascii="Times New Roman" w:eastAsia="Times New Roman" w:hAnsi="Times New Roman" w:cs="Times New Roman" w:hint="cs"/>
          <w:lang w:eastAsia="fr-FR"/>
        </w:rPr>
        <w:t>é</w:t>
      </w:r>
      <w:r w:rsidRPr="00B47472">
        <w:rPr>
          <w:rFonts w:ascii="Times New Roman" w:eastAsia="Times New Roman" w:hAnsi="Times New Roman" w:cs="Times New Roman"/>
          <w:lang w:eastAsia="fr-FR"/>
        </w:rPr>
        <w:t xml:space="preserve"> Mountaga Mamadou</w:t>
      </w:r>
    </w:p>
    <w:p w14:paraId="7B9CF1D1" w14:textId="77777777" w:rsidR="001576F1" w:rsidRPr="00B47472" w:rsidRDefault="001576F1" w:rsidP="001576F1">
      <w:pPr>
        <w:spacing w:after="120"/>
        <w:jc w:val="both"/>
        <w:rPr>
          <w:rFonts w:ascii="Times New Roman" w:eastAsia="Times New Roman" w:hAnsi="Times New Roman" w:cs="Times New Roman"/>
          <w:lang w:eastAsia="fr-FR"/>
        </w:rPr>
      </w:pPr>
      <w:r w:rsidRPr="00B47472">
        <w:rPr>
          <w:rFonts w:ascii="Times New Roman" w:eastAsia="Times New Roman" w:hAnsi="Times New Roman" w:cs="Times New Roman"/>
          <w:lang w:eastAsia="fr-FR"/>
        </w:rPr>
        <w:t>Capo Chichi Gilbert</w:t>
      </w:r>
    </w:p>
    <w:p w14:paraId="4EF5E040" w14:textId="77777777" w:rsidR="001576F1" w:rsidRPr="00B47472" w:rsidRDefault="001576F1" w:rsidP="001576F1">
      <w:pPr>
        <w:spacing w:after="120"/>
        <w:jc w:val="both"/>
        <w:rPr>
          <w:rFonts w:ascii="Times New Roman" w:eastAsia="Times New Roman" w:hAnsi="Times New Roman" w:cs="Times New Roman"/>
          <w:lang w:eastAsia="fr-FR"/>
        </w:rPr>
      </w:pPr>
      <w:r w:rsidRPr="00B47472">
        <w:rPr>
          <w:rFonts w:ascii="Times New Roman" w:eastAsia="Times New Roman" w:hAnsi="Times New Roman" w:cs="Times New Roman"/>
          <w:lang w:eastAsia="fr-FR"/>
        </w:rPr>
        <w:t>Damome Etienne</w:t>
      </w:r>
    </w:p>
    <w:p w14:paraId="49A8E4DF" w14:textId="77777777" w:rsidR="001576F1" w:rsidRPr="00B47472" w:rsidRDefault="001576F1" w:rsidP="001576F1">
      <w:pPr>
        <w:spacing w:after="120"/>
        <w:jc w:val="both"/>
        <w:rPr>
          <w:rFonts w:ascii="Times New Roman" w:eastAsia="Times New Roman" w:hAnsi="Times New Roman" w:cs="Times New Roman"/>
          <w:lang w:eastAsia="fr-FR"/>
        </w:rPr>
      </w:pPr>
      <w:r w:rsidRPr="00B47472">
        <w:rPr>
          <w:rFonts w:ascii="Times New Roman" w:eastAsia="Times New Roman" w:hAnsi="Times New Roman" w:cs="Times New Roman"/>
          <w:lang w:eastAsia="fr-FR"/>
        </w:rPr>
        <w:t>Diallo Fatoumata</w:t>
      </w:r>
    </w:p>
    <w:p w14:paraId="6F610EE2" w14:textId="77777777" w:rsidR="001576F1" w:rsidRPr="00B47472" w:rsidRDefault="001576F1" w:rsidP="001576F1">
      <w:pPr>
        <w:spacing w:after="120"/>
        <w:jc w:val="both"/>
        <w:rPr>
          <w:rFonts w:ascii="Times New Roman" w:eastAsia="Times New Roman" w:hAnsi="Times New Roman" w:cs="Times New Roman"/>
          <w:lang w:eastAsia="fr-FR"/>
        </w:rPr>
      </w:pPr>
      <w:r w:rsidRPr="00B47472">
        <w:rPr>
          <w:rFonts w:ascii="Times New Roman" w:eastAsia="Times New Roman" w:hAnsi="Times New Roman" w:cs="Times New Roman"/>
          <w:lang w:eastAsia="fr-FR"/>
        </w:rPr>
        <w:t>Dok-Kwadda Eric</w:t>
      </w:r>
    </w:p>
    <w:p w14:paraId="7984E610" w14:textId="77777777" w:rsidR="001576F1" w:rsidRPr="00B47472" w:rsidRDefault="001576F1" w:rsidP="001576F1">
      <w:pPr>
        <w:spacing w:after="120"/>
        <w:jc w:val="both"/>
        <w:rPr>
          <w:rFonts w:ascii="Times New Roman" w:eastAsia="Times New Roman" w:hAnsi="Times New Roman" w:cs="Times New Roman"/>
          <w:lang w:eastAsia="fr-FR"/>
        </w:rPr>
      </w:pPr>
      <w:r w:rsidRPr="00B47472">
        <w:rPr>
          <w:rFonts w:ascii="Times New Roman" w:eastAsia="Times New Roman" w:hAnsi="Times New Roman" w:cs="Times New Roman"/>
          <w:lang w:eastAsia="fr-FR"/>
        </w:rPr>
        <w:t>Fagade Carole</w:t>
      </w:r>
    </w:p>
    <w:p w14:paraId="7A7AFEA7" w14:textId="77777777" w:rsidR="001576F1" w:rsidRPr="00B47472" w:rsidRDefault="001576F1" w:rsidP="001576F1">
      <w:pPr>
        <w:spacing w:after="120"/>
        <w:jc w:val="both"/>
        <w:rPr>
          <w:rFonts w:ascii="Times New Roman" w:eastAsia="Times New Roman" w:hAnsi="Times New Roman" w:cs="Times New Roman"/>
          <w:lang w:eastAsia="fr-FR"/>
        </w:rPr>
      </w:pPr>
      <w:r w:rsidRPr="00B47472">
        <w:rPr>
          <w:rFonts w:ascii="Times New Roman" w:eastAsia="Times New Roman" w:hAnsi="Times New Roman" w:cs="Times New Roman"/>
          <w:lang w:eastAsia="fr-FR"/>
        </w:rPr>
        <w:t>Guinez BadillaNatalia</w:t>
      </w:r>
    </w:p>
    <w:p w14:paraId="5B883CD6" w14:textId="77777777" w:rsidR="001576F1" w:rsidRPr="00B47472" w:rsidRDefault="001576F1" w:rsidP="001576F1">
      <w:pPr>
        <w:spacing w:after="120"/>
        <w:jc w:val="both"/>
        <w:rPr>
          <w:rFonts w:ascii="Times New Roman" w:eastAsia="Times New Roman" w:hAnsi="Times New Roman" w:cs="Times New Roman"/>
          <w:lang w:eastAsia="fr-FR"/>
        </w:rPr>
      </w:pPr>
      <w:r w:rsidRPr="00B47472">
        <w:rPr>
          <w:rFonts w:ascii="Times New Roman" w:eastAsia="Times New Roman" w:hAnsi="Times New Roman" w:cs="Times New Roman"/>
          <w:lang w:eastAsia="fr-FR"/>
        </w:rPr>
        <w:t>Kaninda Tshitwala Lynda</w:t>
      </w:r>
    </w:p>
    <w:p w14:paraId="1492B470" w14:textId="77777777" w:rsidR="001576F1" w:rsidRPr="00B47472" w:rsidRDefault="001576F1" w:rsidP="001576F1">
      <w:pPr>
        <w:spacing w:after="120"/>
        <w:jc w:val="both"/>
        <w:rPr>
          <w:rFonts w:ascii="Times New Roman" w:eastAsia="Times New Roman" w:hAnsi="Times New Roman" w:cs="Times New Roman"/>
          <w:lang w:eastAsia="fr-FR"/>
        </w:rPr>
      </w:pPr>
      <w:r w:rsidRPr="00B47472">
        <w:rPr>
          <w:rFonts w:ascii="Times New Roman" w:eastAsia="Times New Roman" w:hAnsi="Times New Roman" w:cs="Times New Roman"/>
          <w:lang w:eastAsia="fr-FR"/>
        </w:rPr>
        <w:t>Koffi Atta Mensah</w:t>
      </w:r>
    </w:p>
    <w:p w14:paraId="5C12F97F" w14:textId="102EB88E" w:rsidR="00D864E5" w:rsidRDefault="00D864E5" w:rsidP="001576F1">
      <w:pPr>
        <w:spacing w:after="120"/>
        <w:jc w:val="both"/>
        <w:rPr>
          <w:rFonts w:ascii="Times New Roman" w:eastAsia="Times New Roman" w:hAnsi="Times New Roman" w:cs="Times New Roman"/>
          <w:lang w:eastAsia="fr-FR"/>
        </w:rPr>
      </w:pPr>
      <w:r>
        <w:rPr>
          <w:rFonts w:ascii="Times New Roman" w:eastAsia="Times New Roman" w:hAnsi="Times New Roman" w:cs="Times New Roman"/>
          <w:lang w:eastAsia="fr-FR"/>
        </w:rPr>
        <w:t>Lowento Ken</w:t>
      </w:r>
    </w:p>
    <w:p w14:paraId="2E95C95D" w14:textId="0F3FAFA4" w:rsidR="009F5493" w:rsidRDefault="009F5493" w:rsidP="001576F1">
      <w:pPr>
        <w:spacing w:after="120"/>
        <w:jc w:val="both"/>
        <w:rPr>
          <w:rFonts w:ascii="Times New Roman" w:eastAsia="Times New Roman" w:hAnsi="Times New Roman" w:cs="Times New Roman"/>
          <w:lang w:eastAsia="fr-FR"/>
        </w:rPr>
      </w:pPr>
      <w:r w:rsidRPr="00B47472">
        <w:rPr>
          <w:rFonts w:ascii="Times New Roman" w:eastAsia="Times New Roman" w:hAnsi="Times New Roman" w:cs="Times New Roman"/>
          <w:lang w:eastAsia="fr-FR"/>
        </w:rPr>
        <w:t>Mourroux M</w:t>
      </w:r>
      <w:r w:rsidRPr="00B47472">
        <w:rPr>
          <w:rFonts w:ascii="Times New Roman" w:eastAsia="Times New Roman" w:hAnsi="Times New Roman" w:cs="Times New Roman" w:hint="cs"/>
          <w:lang w:eastAsia="fr-FR"/>
        </w:rPr>
        <w:t>é</w:t>
      </w:r>
      <w:r w:rsidRPr="00B47472">
        <w:rPr>
          <w:rFonts w:ascii="Times New Roman" w:eastAsia="Times New Roman" w:hAnsi="Times New Roman" w:cs="Times New Roman"/>
          <w:lang w:eastAsia="fr-FR"/>
        </w:rPr>
        <w:t>lissa</w:t>
      </w:r>
    </w:p>
    <w:p w14:paraId="5B20E63B" w14:textId="641FAF52" w:rsidR="001576F1" w:rsidRPr="00B47472" w:rsidRDefault="001576F1" w:rsidP="001576F1">
      <w:pPr>
        <w:spacing w:after="120"/>
        <w:jc w:val="both"/>
        <w:rPr>
          <w:rFonts w:ascii="Times New Roman" w:eastAsia="Times New Roman" w:hAnsi="Times New Roman" w:cs="Times New Roman"/>
          <w:lang w:eastAsia="fr-FR"/>
        </w:rPr>
      </w:pPr>
      <w:r w:rsidRPr="00B47472">
        <w:rPr>
          <w:rFonts w:ascii="Times New Roman" w:eastAsia="Times New Roman" w:hAnsi="Times New Roman" w:cs="Times New Roman"/>
          <w:lang w:eastAsia="fr-FR"/>
        </w:rPr>
        <w:t>Moukala Nguimbi Franck Gordan</w:t>
      </w:r>
    </w:p>
    <w:p w14:paraId="1DC110FF" w14:textId="77777777" w:rsidR="001576F1" w:rsidRPr="00B47472" w:rsidRDefault="001576F1" w:rsidP="001576F1">
      <w:pPr>
        <w:spacing w:after="120"/>
        <w:jc w:val="both"/>
        <w:rPr>
          <w:rFonts w:ascii="Times New Roman" w:eastAsia="Times New Roman" w:hAnsi="Times New Roman" w:cs="Times New Roman"/>
          <w:lang w:eastAsia="fr-FR"/>
        </w:rPr>
      </w:pPr>
      <w:r w:rsidRPr="00B47472">
        <w:rPr>
          <w:rFonts w:ascii="Times New Roman" w:eastAsia="Times New Roman" w:hAnsi="Times New Roman" w:cs="Times New Roman"/>
          <w:lang w:eastAsia="fr-FR"/>
        </w:rPr>
        <w:t>Nganga Ida</w:t>
      </w:r>
    </w:p>
    <w:p w14:paraId="12B5CCD9" w14:textId="77777777" w:rsidR="001576F1" w:rsidRPr="00B47472" w:rsidRDefault="001576F1" w:rsidP="001576F1">
      <w:pPr>
        <w:spacing w:after="120"/>
        <w:jc w:val="both"/>
        <w:rPr>
          <w:rFonts w:ascii="Times New Roman" w:eastAsia="Times New Roman" w:hAnsi="Times New Roman" w:cs="Times New Roman"/>
          <w:lang w:eastAsia="fr-FR"/>
        </w:rPr>
      </w:pPr>
      <w:r w:rsidRPr="00B47472">
        <w:rPr>
          <w:rFonts w:ascii="Times New Roman" w:eastAsia="Times New Roman" w:hAnsi="Times New Roman" w:cs="Times New Roman"/>
          <w:lang w:eastAsia="fr-FR"/>
        </w:rPr>
        <w:lastRenderedPageBreak/>
        <w:t>Noukafou Augustin</w:t>
      </w:r>
    </w:p>
    <w:p w14:paraId="63805BE0" w14:textId="77777777" w:rsidR="001576F1" w:rsidRPr="00B47472" w:rsidRDefault="001576F1" w:rsidP="001576F1">
      <w:pPr>
        <w:spacing w:after="120"/>
        <w:jc w:val="both"/>
        <w:rPr>
          <w:rFonts w:ascii="Times New Roman" w:eastAsia="Times New Roman" w:hAnsi="Times New Roman" w:cs="Times New Roman"/>
          <w:lang w:eastAsia="fr-FR"/>
        </w:rPr>
      </w:pPr>
      <w:r w:rsidRPr="00B47472">
        <w:rPr>
          <w:rFonts w:ascii="Times New Roman" w:eastAsia="Times New Roman" w:hAnsi="Times New Roman" w:cs="Times New Roman"/>
          <w:lang w:eastAsia="fr-FR"/>
        </w:rPr>
        <w:t>Nzi J</w:t>
      </w:r>
      <w:r w:rsidRPr="00B47472">
        <w:rPr>
          <w:rFonts w:ascii="Times New Roman" w:eastAsia="Times New Roman" w:hAnsi="Times New Roman" w:cs="Times New Roman" w:hint="cs"/>
          <w:lang w:eastAsia="fr-FR"/>
        </w:rPr>
        <w:t>é</w:t>
      </w:r>
      <w:r w:rsidRPr="00B47472">
        <w:rPr>
          <w:rFonts w:ascii="Times New Roman" w:eastAsia="Times New Roman" w:hAnsi="Times New Roman" w:cs="Times New Roman"/>
          <w:lang w:eastAsia="fr-FR"/>
        </w:rPr>
        <w:t>r</w:t>
      </w:r>
      <w:r w:rsidRPr="00B47472">
        <w:rPr>
          <w:rFonts w:ascii="Times New Roman" w:eastAsia="Times New Roman" w:hAnsi="Times New Roman" w:cs="Times New Roman" w:hint="cs"/>
          <w:lang w:eastAsia="fr-FR"/>
        </w:rPr>
        <w:t>é</w:t>
      </w:r>
      <w:r w:rsidRPr="00B47472">
        <w:rPr>
          <w:rFonts w:ascii="Times New Roman" w:eastAsia="Times New Roman" w:hAnsi="Times New Roman" w:cs="Times New Roman"/>
          <w:lang w:eastAsia="fr-FR"/>
        </w:rPr>
        <w:t>mie</w:t>
      </w:r>
    </w:p>
    <w:p w14:paraId="4E517F4F" w14:textId="77777777" w:rsidR="001576F1" w:rsidRPr="00B47472" w:rsidRDefault="001576F1" w:rsidP="001576F1">
      <w:pPr>
        <w:spacing w:after="120"/>
        <w:jc w:val="both"/>
        <w:rPr>
          <w:rFonts w:ascii="Times New Roman" w:eastAsia="Times New Roman" w:hAnsi="Times New Roman" w:cs="Times New Roman"/>
          <w:lang w:eastAsia="fr-FR"/>
        </w:rPr>
      </w:pPr>
      <w:r w:rsidRPr="00B47472">
        <w:rPr>
          <w:rFonts w:ascii="Times New Roman" w:eastAsia="Times New Roman" w:hAnsi="Times New Roman" w:cs="Times New Roman"/>
          <w:lang w:eastAsia="fr-FR"/>
        </w:rPr>
        <w:t>Sossou Etienne</w:t>
      </w:r>
    </w:p>
    <w:p w14:paraId="278DD8DC" w14:textId="77777777" w:rsidR="001576F1" w:rsidRPr="00B47472" w:rsidRDefault="001576F1" w:rsidP="001576F1">
      <w:pPr>
        <w:spacing w:after="120"/>
        <w:jc w:val="both"/>
        <w:rPr>
          <w:rFonts w:ascii="Times New Roman" w:eastAsia="Times New Roman" w:hAnsi="Times New Roman" w:cs="Times New Roman"/>
          <w:lang w:eastAsia="fr-FR"/>
        </w:rPr>
      </w:pPr>
      <w:r w:rsidRPr="00B47472">
        <w:rPr>
          <w:rFonts w:ascii="Times New Roman" w:eastAsia="Times New Roman" w:hAnsi="Times New Roman" w:cs="Times New Roman"/>
          <w:lang w:eastAsia="fr-FR"/>
        </w:rPr>
        <w:t>T</w:t>
      </w:r>
      <w:r w:rsidRPr="00B47472">
        <w:rPr>
          <w:rFonts w:ascii="Times New Roman" w:eastAsia="Times New Roman" w:hAnsi="Times New Roman" w:cs="Times New Roman" w:hint="cs"/>
          <w:lang w:eastAsia="fr-FR"/>
        </w:rPr>
        <w:t>é</w:t>
      </w:r>
      <w:r w:rsidRPr="00B47472">
        <w:rPr>
          <w:rFonts w:ascii="Times New Roman" w:eastAsia="Times New Roman" w:hAnsi="Times New Roman" w:cs="Times New Roman"/>
          <w:lang w:eastAsia="fr-FR"/>
        </w:rPr>
        <w:t>gami Amyn</w:t>
      </w:r>
    </w:p>
    <w:p w14:paraId="07C53DA0" w14:textId="77777777" w:rsidR="001576F1" w:rsidRPr="00B47472" w:rsidRDefault="001576F1" w:rsidP="001576F1">
      <w:pPr>
        <w:spacing w:after="120"/>
        <w:jc w:val="both"/>
        <w:rPr>
          <w:rFonts w:ascii="Times New Roman" w:eastAsia="Times New Roman" w:hAnsi="Times New Roman" w:cs="Times New Roman"/>
          <w:lang w:eastAsia="fr-FR"/>
        </w:rPr>
      </w:pPr>
      <w:r w:rsidRPr="00B47472">
        <w:rPr>
          <w:rFonts w:ascii="Times New Roman" w:eastAsia="Times New Roman" w:hAnsi="Times New Roman" w:cs="Times New Roman"/>
          <w:lang w:eastAsia="fr-FR"/>
        </w:rPr>
        <w:t>T</w:t>
      </w:r>
      <w:r w:rsidRPr="00B47472">
        <w:rPr>
          <w:rFonts w:ascii="Times New Roman" w:eastAsia="Times New Roman" w:hAnsi="Times New Roman" w:cs="Times New Roman" w:hint="cs"/>
          <w:lang w:eastAsia="fr-FR"/>
        </w:rPr>
        <w:t>é</w:t>
      </w:r>
      <w:r w:rsidRPr="00B47472">
        <w:rPr>
          <w:rFonts w:ascii="Times New Roman" w:eastAsia="Times New Roman" w:hAnsi="Times New Roman" w:cs="Times New Roman"/>
          <w:lang w:eastAsia="fr-FR"/>
        </w:rPr>
        <w:t>madji R</w:t>
      </w:r>
      <w:r w:rsidRPr="00B47472">
        <w:rPr>
          <w:rFonts w:ascii="Times New Roman" w:eastAsia="Times New Roman" w:hAnsi="Times New Roman" w:cs="Times New Roman" w:hint="cs"/>
          <w:lang w:eastAsia="fr-FR"/>
        </w:rPr>
        <w:t>é</w:t>
      </w:r>
      <w:r w:rsidRPr="00B47472">
        <w:rPr>
          <w:rFonts w:ascii="Times New Roman" w:eastAsia="Times New Roman" w:hAnsi="Times New Roman" w:cs="Times New Roman"/>
          <w:lang w:eastAsia="fr-FR"/>
        </w:rPr>
        <w:t>mi</w:t>
      </w:r>
    </w:p>
    <w:p w14:paraId="4A6C0A25" w14:textId="77777777" w:rsidR="00AE4F76" w:rsidRDefault="001576F1" w:rsidP="001576F1">
      <w:pPr>
        <w:spacing w:after="120"/>
        <w:jc w:val="both"/>
        <w:rPr>
          <w:rFonts w:ascii="Times New Roman" w:eastAsia="Times New Roman" w:hAnsi="Times New Roman" w:cs="Times New Roman"/>
          <w:lang w:eastAsia="fr-FR"/>
        </w:rPr>
      </w:pPr>
      <w:r w:rsidRPr="00B47472">
        <w:rPr>
          <w:rFonts w:ascii="Times New Roman" w:eastAsia="Times New Roman" w:hAnsi="Times New Roman" w:cs="Times New Roman"/>
          <w:lang w:eastAsia="fr-FR"/>
        </w:rPr>
        <w:t>Todo Alipui Jo</w:t>
      </w:r>
      <w:r w:rsidRPr="00B47472">
        <w:rPr>
          <w:rFonts w:ascii="Times New Roman" w:eastAsia="Times New Roman" w:hAnsi="Times New Roman" w:cs="Times New Roman" w:hint="cs"/>
          <w:lang w:eastAsia="fr-FR"/>
        </w:rPr>
        <w:t>ë</w:t>
      </w:r>
      <w:r w:rsidRPr="00B47472">
        <w:rPr>
          <w:rFonts w:ascii="Times New Roman" w:eastAsia="Times New Roman" w:hAnsi="Times New Roman" w:cs="Times New Roman"/>
          <w:lang w:eastAsia="fr-FR"/>
        </w:rPr>
        <w:t>l</w:t>
      </w:r>
    </w:p>
    <w:bookmarkEnd w:id="1"/>
    <w:p w14:paraId="34D9E477" w14:textId="5EBB16F1" w:rsidR="001576F1" w:rsidRPr="00175D0B" w:rsidRDefault="001576F1" w:rsidP="001576F1">
      <w:pPr>
        <w:spacing w:after="120"/>
        <w:jc w:val="both"/>
        <w:rPr>
          <w:rFonts w:ascii="Times New Roman" w:hAnsi="Times New Roman" w:cs="Times New Roman"/>
          <w:lang w:val="en-US"/>
        </w:rPr>
      </w:pPr>
      <w:r w:rsidRPr="00175D0B">
        <w:rPr>
          <w:rFonts w:ascii="Times New Roman" w:hAnsi="Times New Roman" w:cs="Times New Roman"/>
          <w:lang w:val="en-US"/>
        </w:rPr>
        <w:t>UISTAM (Diaby Moustapha Ben Ismaila)</w:t>
      </w:r>
    </w:p>
    <w:p w14:paraId="261E6BB2" w14:textId="7777777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Association Monarch Intelligence (Jean-Yves Mougeolle)</w:t>
      </w:r>
    </w:p>
    <w:p w14:paraId="7816438F" w14:textId="77777777" w:rsidR="001576F1" w:rsidRPr="00175D0B" w:rsidRDefault="001576F1" w:rsidP="001576F1">
      <w:pPr>
        <w:spacing w:after="120"/>
        <w:jc w:val="both"/>
        <w:rPr>
          <w:rFonts w:ascii="Times New Roman" w:hAnsi="Times New Roman" w:cs="Times New Roman"/>
        </w:rPr>
      </w:pPr>
    </w:p>
    <w:p w14:paraId="092AB220" w14:textId="77777777" w:rsidR="001576F1" w:rsidRPr="00175D0B" w:rsidRDefault="001576F1" w:rsidP="001576F1">
      <w:pPr>
        <w:spacing w:after="120"/>
        <w:jc w:val="both"/>
        <w:rPr>
          <w:rFonts w:ascii="Times New Roman" w:hAnsi="Times New Roman" w:cs="Times New Roman"/>
          <w:b/>
          <w:bCs/>
        </w:rPr>
      </w:pPr>
      <w:r w:rsidRPr="00175D0B">
        <w:rPr>
          <w:rFonts w:ascii="Times New Roman" w:hAnsi="Times New Roman" w:cs="Times New Roman"/>
          <w:b/>
          <w:bCs/>
        </w:rPr>
        <w:t>Bibliographie indicative</w:t>
      </w:r>
    </w:p>
    <w:p w14:paraId="46001BC3" w14:textId="77777777" w:rsidR="001576F1" w:rsidRPr="00A30D42" w:rsidRDefault="001576F1" w:rsidP="001576F1">
      <w:pPr>
        <w:spacing w:after="120"/>
        <w:jc w:val="both"/>
        <w:rPr>
          <w:rFonts w:ascii="Times New Roman" w:hAnsi="Times New Roman" w:cs="Times New Roman"/>
        </w:rPr>
      </w:pPr>
      <w:r w:rsidRPr="00A30D42">
        <w:rPr>
          <w:rFonts w:ascii="Times New Roman" w:hAnsi="Times New Roman" w:cs="Times New Roman"/>
        </w:rPr>
        <w:t xml:space="preserve">Achille, M. (2020). </w:t>
      </w:r>
      <w:r w:rsidRPr="00A30D42">
        <w:rPr>
          <w:rFonts w:ascii="Times New Roman" w:hAnsi="Times New Roman" w:cs="Times New Roman"/>
          <w:i/>
          <w:iCs/>
        </w:rPr>
        <w:t>Critique de la raison n</w:t>
      </w:r>
      <w:r w:rsidRPr="00A30D42">
        <w:rPr>
          <w:rFonts w:ascii="Times New Roman" w:hAnsi="Times New Roman" w:cs="Times New Roman" w:hint="cs"/>
          <w:i/>
          <w:iCs/>
        </w:rPr>
        <w:t>è</w:t>
      </w:r>
      <w:r w:rsidRPr="00A30D42">
        <w:rPr>
          <w:rFonts w:ascii="Times New Roman" w:hAnsi="Times New Roman" w:cs="Times New Roman"/>
          <w:i/>
          <w:iCs/>
        </w:rPr>
        <w:t>gre</w:t>
      </w:r>
      <w:r w:rsidRPr="00A30D42">
        <w:rPr>
          <w:rFonts w:ascii="Times New Roman" w:hAnsi="Times New Roman" w:cs="Times New Roman"/>
        </w:rPr>
        <w:t xml:space="preserve">. (3ᵉ </w:t>
      </w:r>
      <w:r w:rsidRPr="00A30D42">
        <w:rPr>
          <w:rFonts w:ascii="Times New Roman" w:hAnsi="Times New Roman" w:cs="Times New Roman" w:hint="cs"/>
        </w:rPr>
        <w:t>é</w:t>
      </w:r>
      <w:r w:rsidRPr="00A30D42">
        <w:rPr>
          <w:rFonts w:ascii="Times New Roman" w:hAnsi="Times New Roman" w:cs="Times New Roman"/>
        </w:rPr>
        <w:t>d.). La D</w:t>
      </w:r>
      <w:r w:rsidRPr="00A30D42">
        <w:rPr>
          <w:rFonts w:ascii="Times New Roman" w:hAnsi="Times New Roman" w:cs="Times New Roman" w:hint="cs"/>
        </w:rPr>
        <w:t>é</w:t>
      </w:r>
      <w:r w:rsidRPr="00A30D42">
        <w:rPr>
          <w:rFonts w:ascii="Times New Roman" w:hAnsi="Times New Roman" w:cs="Times New Roman"/>
        </w:rPr>
        <w:t>couverte.</w:t>
      </w:r>
    </w:p>
    <w:p w14:paraId="0D35F324" w14:textId="7777777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 xml:space="preserve">Almazán Gómez, A. ; Luzi, J. (2020). La non-neutralité de la technologie. </w:t>
      </w:r>
      <w:r w:rsidRPr="00175D0B">
        <w:rPr>
          <w:rFonts w:ascii="Times New Roman" w:hAnsi="Times New Roman" w:cs="Times New Roman"/>
          <w:i/>
          <w:iCs/>
        </w:rPr>
        <w:t>Écologie &amp; politique</w:t>
      </w:r>
      <w:r w:rsidRPr="00175D0B">
        <w:rPr>
          <w:rFonts w:ascii="Times New Roman" w:hAnsi="Times New Roman" w:cs="Times New Roman"/>
        </w:rPr>
        <w:t>, Vol.61 (2), p. 27-43.</w:t>
      </w:r>
    </w:p>
    <w:p w14:paraId="69BD63BF" w14:textId="7777777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 xml:space="preserve">Appadurai, A. (1996). </w:t>
      </w:r>
      <w:r w:rsidRPr="00175D0B">
        <w:rPr>
          <w:rFonts w:ascii="Times New Roman" w:hAnsi="Times New Roman" w:cs="Times New Roman"/>
          <w:i/>
          <w:iCs/>
        </w:rPr>
        <w:t>Modernity at large : Cultural dimensions of globalization</w:t>
      </w:r>
      <w:r w:rsidRPr="00175D0B">
        <w:rPr>
          <w:rFonts w:ascii="Times New Roman" w:hAnsi="Times New Roman" w:cs="Times New Roman"/>
        </w:rPr>
        <w:t>. Minneapolis : University of Minnesota Press.</w:t>
      </w:r>
    </w:p>
    <w:p w14:paraId="21A89505" w14:textId="77777777" w:rsidR="001576F1" w:rsidRPr="00A30D42" w:rsidRDefault="001576F1" w:rsidP="001576F1">
      <w:pPr>
        <w:spacing w:after="120"/>
        <w:jc w:val="both"/>
        <w:rPr>
          <w:rFonts w:ascii="Times New Roman" w:hAnsi="Times New Roman" w:cs="Times New Roman"/>
        </w:rPr>
      </w:pPr>
      <w:r w:rsidRPr="00A30D42">
        <w:rPr>
          <w:rFonts w:ascii="Times New Roman" w:hAnsi="Times New Roman" w:cs="Times New Roman"/>
        </w:rPr>
        <w:t xml:space="preserve">Cardon, D. (2015). </w:t>
      </w:r>
      <w:r w:rsidRPr="00A30D42">
        <w:rPr>
          <w:rFonts w:ascii="Times New Roman" w:hAnsi="Times New Roman" w:cs="Times New Roman"/>
          <w:i/>
          <w:iCs/>
        </w:rPr>
        <w:t>La d</w:t>
      </w:r>
      <w:r w:rsidRPr="00A30D42">
        <w:rPr>
          <w:rFonts w:ascii="Times New Roman" w:hAnsi="Times New Roman" w:cs="Times New Roman" w:hint="cs"/>
          <w:i/>
          <w:iCs/>
        </w:rPr>
        <w:t>é</w:t>
      </w:r>
      <w:r w:rsidRPr="00A30D42">
        <w:rPr>
          <w:rFonts w:ascii="Times New Roman" w:hAnsi="Times New Roman" w:cs="Times New Roman"/>
          <w:i/>
          <w:iCs/>
        </w:rPr>
        <w:t>mocratie internet</w:t>
      </w:r>
      <w:r>
        <w:rPr>
          <w:rFonts w:ascii="Times New Roman" w:hAnsi="Times New Roman" w:cs="Times New Roman"/>
          <w:i/>
          <w:iCs/>
        </w:rPr>
        <w:t> </w:t>
      </w:r>
      <w:r w:rsidRPr="00A30D42">
        <w:rPr>
          <w:rFonts w:ascii="Times New Roman" w:hAnsi="Times New Roman" w:cs="Times New Roman"/>
          <w:i/>
          <w:iCs/>
        </w:rPr>
        <w:t xml:space="preserve">: </w:t>
      </w:r>
      <w:r>
        <w:rPr>
          <w:rFonts w:ascii="Times New Roman" w:hAnsi="Times New Roman" w:cs="Times New Roman"/>
          <w:i/>
          <w:iCs/>
        </w:rPr>
        <w:t>p</w:t>
      </w:r>
      <w:r w:rsidRPr="00A30D42">
        <w:rPr>
          <w:rFonts w:ascii="Times New Roman" w:hAnsi="Times New Roman" w:cs="Times New Roman"/>
          <w:i/>
          <w:iCs/>
        </w:rPr>
        <w:t>romesses et limites</w:t>
      </w:r>
      <w:r w:rsidRPr="00A30D42">
        <w:rPr>
          <w:rFonts w:ascii="Times New Roman" w:hAnsi="Times New Roman" w:cs="Times New Roman"/>
        </w:rPr>
        <w:t xml:space="preserve">. </w:t>
      </w:r>
      <w:r>
        <w:rPr>
          <w:rFonts w:ascii="Times New Roman" w:hAnsi="Times New Roman" w:cs="Times New Roman"/>
        </w:rPr>
        <w:t xml:space="preserve">Paris, </w:t>
      </w:r>
      <w:r w:rsidRPr="00A30D42">
        <w:rPr>
          <w:rFonts w:ascii="Times New Roman" w:hAnsi="Times New Roman" w:cs="Times New Roman"/>
        </w:rPr>
        <w:t>Seuil.</w:t>
      </w:r>
    </w:p>
    <w:p w14:paraId="5B69933E" w14:textId="7777777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lang w:val="en-US"/>
        </w:rPr>
        <w:t xml:space="preserve">Castells, M. (2012). </w:t>
      </w:r>
      <w:r w:rsidRPr="00175D0B">
        <w:rPr>
          <w:rFonts w:ascii="Times New Roman" w:hAnsi="Times New Roman" w:cs="Times New Roman"/>
          <w:i/>
          <w:iCs/>
          <w:lang w:val="en-US"/>
        </w:rPr>
        <w:t>Networks of outrage and hope: Social movements in the Internet age</w:t>
      </w:r>
      <w:r w:rsidRPr="00175D0B">
        <w:rPr>
          <w:rFonts w:ascii="Times New Roman" w:hAnsi="Times New Roman" w:cs="Times New Roman"/>
          <w:lang w:val="en-US"/>
        </w:rPr>
        <w:t xml:space="preserve">. </w:t>
      </w:r>
      <w:r w:rsidRPr="00175D0B">
        <w:rPr>
          <w:rFonts w:ascii="Times New Roman" w:hAnsi="Times New Roman" w:cs="Times New Roman"/>
        </w:rPr>
        <w:t>Cambridge : Polity Press.</w:t>
      </w:r>
    </w:p>
    <w:p w14:paraId="7C4294BA" w14:textId="7777777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 xml:space="preserve">Damome, E., Akam, N., Kiyindou, A. (dir.). </w:t>
      </w:r>
      <w:r w:rsidRPr="00175D0B">
        <w:rPr>
          <w:rFonts w:ascii="Times New Roman" w:hAnsi="Times New Roman" w:cs="Times New Roman"/>
          <w:i/>
          <w:iCs/>
        </w:rPr>
        <w:t>Système</w:t>
      </w:r>
      <w:r>
        <w:rPr>
          <w:rFonts w:ascii="Times New Roman" w:hAnsi="Times New Roman" w:cs="Times New Roman"/>
          <w:i/>
          <w:iCs/>
        </w:rPr>
        <w:t>s</w:t>
      </w:r>
      <w:r w:rsidRPr="00175D0B">
        <w:rPr>
          <w:rFonts w:ascii="Times New Roman" w:hAnsi="Times New Roman" w:cs="Times New Roman"/>
          <w:i/>
          <w:iCs/>
        </w:rPr>
        <w:t xml:space="preserve"> connectés, données et économie numérique dans l’espace francophone</w:t>
      </w:r>
      <w:r w:rsidRPr="00175D0B">
        <w:rPr>
          <w:rFonts w:ascii="Times New Roman" w:hAnsi="Times New Roman" w:cs="Times New Roman"/>
        </w:rPr>
        <w:t>. L’Harmattan, 2019.</w:t>
      </w:r>
    </w:p>
    <w:p w14:paraId="2150904B" w14:textId="7777777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 xml:space="preserve">Darbon, D. (2009). </w:t>
      </w:r>
      <w:r w:rsidRPr="00175D0B">
        <w:rPr>
          <w:rFonts w:ascii="Times New Roman" w:hAnsi="Times New Roman" w:cs="Times New Roman"/>
          <w:i/>
          <w:iCs/>
        </w:rPr>
        <w:t>La politique des modèles en Afrique. Simulation, dépolitisation et appropriation</w:t>
      </w:r>
      <w:r w:rsidRPr="00175D0B">
        <w:rPr>
          <w:rFonts w:ascii="Times New Roman" w:hAnsi="Times New Roman" w:cs="Times New Roman"/>
        </w:rPr>
        <w:t>. Paris, Karthala-MSHA.</w:t>
      </w:r>
    </w:p>
    <w:p w14:paraId="2ABC564E" w14:textId="7777777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 xml:space="preserve">De Certeau, M. (1980). </w:t>
      </w:r>
      <w:r w:rsidRPr="00175D0B">
        <w:rPr>
          <w:rFonts w:ascii="Times New Roman" w:hAnsi="Times New Roman" w:cs="Times New Roman"/>
          <w:i/>
          <w:iCs/>
        </w:rPr>
        <w:t>L’invention du quotidien. Tome 1 : Arts de faire</w:t>
      </w:r>
      <w:r w:rsidRPr="00175D0B">
        <w:rPr>
          <w:rFonts w:ascii="Times New Roman" w:hAnsi="Times New Roman" w:cs="Times New Roman"/>
        </w:rPr>
        <w:t>. Paris : Gallimard.</w:t>
      </w:r>
    </w:p>
    <w:p w14:paraId="1647A5A3" w14:textId="77777777" w:rsidR="001576F1" w:rsidRPr="00A30D42" w:rsidRDefault="001576F1" w:rsidP="001576F1">
      <w:pPr>
        <w:spacing w:after="120"/>
        <w:jc w:val="both"/>
        <w:rPr>
          <w:rFonts w:ascii="Times New Roman" w:hAnsi="Times New Roman" w:cs="Times New Roman"/>
        </w:rPr>
      </w:pPr>
      <w:r w:rsidRPr="00A30D42">
        <w:rPr>
          <w:rFonts w:ascii="Times New Roman" w:hAnsi="Times New Roman" w:cs="Times New Roman"/>
        </w:rPr>
        <w:t xml:space="preserve">Diagne, B. (2011). </w:t>
      </w:r>
      <w:r w:rsidRPr="00A30D42">
        <w:rPr>
          <w:rFonts w:ascii="Times New Roman" w:hAnsi="Times New Roman" w:cs="Times New Roman"/>
          <w:i/>
          <w:iCs/>
        </w:rPr>
        <w:t>Africanity: Between universalism and particularism</w:t>
      </w:r>
      <w:r w:rsidRPr="00A30D42">
        <w:rPr>
          <w:rFonts w:ascii="Times New Roman" w:hAnsi="Times New Roman" w:cs="Times New Roman"/>
        </w:rPr>
        <w:t>. Fordham University Press.</w:t>
      </w:r>
    </w:p>
    <w:p w14:paraId="55AA13A3" w14:textId="7777777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lang w:val="en-US"/>
        </w:rPr>
        <w:t xml:space="preserve">Escobar, A. (2018a). </w:t>
      </w:r>
      <w:r w:rsidRPr="00175D0B">
        <w:rPr>
          <w:rFonts w:ascii="Times New Roman" w:hAnsi="Times New Roman" w:cs="Times New Roman"/>
          <w:i/>
          <w:iCs/>
          <w:lang w:val="en-US"/>
        </w:rPr>
        <w:t>Designs for the pluriverse: Radical interdependence, autonomy, and the making of worlds</w:t>
      </w:r>
      <w:r w:rsidRPr="00175D0B">
        <w:rPr>
          <w:rFonts w:ascii="Times New Roman" w:hAnsi="Times New Roman" w:cs="Times New Roman"/>
          <w:lang w:val="en-US"/>
        </w:rPr>
        <w:t xml:space="preserve">. </w:t>
      </w:r>
      <w:r w:rsidRPr="00175D0B">
        <w:rPr>
          <w:rFonts w:ascii="Times New Roman" w:hAnsi="Times New Roman" w:cs="Times New Roman"/>
        </w:rPr>
        <w:t>Durham : Duke University Press.</w:t>
      </w:r>
    </w:p>
    <w:p w14:paraId="78C0419B" w14:textId="7777777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 xml:space="preserve">Freire, P. (2013). </w:t>
      </w:r>
      <w:r w:rsidRPr="00175D0B">
        <w:rPr>
          <w:rFonts w:ascii="Times New Roman" w:hAnsi="Times New Roman" w:cs="Times New Roman"/>
          <w:i/>
          <w:iCs/>
        </w:rPr>
        <w:t>Pédagogie des opprimés</w:t>
      </w:r>
      <w:r w:rsidRPr="00175D0B">
        <w:rPr>
          <w:rFonts w:ascii="Times New Roman" w:hAnsi="Times New Roman" w:cs="Times New Roman"/>
        </w:rPr>
        <w:t>. Paris : La Découverte.</w:t>
      </w:r>
    </w:p>
    <w:p w14:paraId="02A1DF02" w14:textId="77777777" w:rsidR="001576F1" w:rsidRPr="00A30D42" w:rsidRDefault="001576F1" w:rsidP="001576F1">
      <w:pPr>
        <w:spacing w:after="120"/>
        <w:jc w:val="both"/>
        <w:rPr>
          <w:rFonts w:ascii="Times New Roman" w:hAnsi="Times New Roman" w:cs="Times New Roman"/>
        </w:rPr>
      </w:pPr>
      <w:r w:rsidRPr="00A30D42">
        <w:rPr>
          <w:rFonts w:ascii="Times New Roman" w:hAnsi="Times New Roman" w:cs="Times New Roman"/>
        </w:rPr>
        <w:t>Geertz, C. (1973). The interpretation of cultures. Basic Books.</w:t>
      </w:r>
    </w:p>
    <w:p w14:paraId="16F50168" w14:textId="7777777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 xml:space="preserve">Goupy, M. (2014). La bienveillante neutralité des technologies d'espionnage des communications : le cas tunisien. </w:t>
      </w:r>
      <w:r w:rsidRPr="00175D0B">
        <w:rPr>
          <w:rFonts w:ascii="Times New Roman" w:hAnsi="Times New Roman" w:cs="Times New Roman"/>
          <w:i/>
          <w:iCs/>
        </w:rPr>
        <w:t>Cultures &amp; conflits</w:t>
      </w:r>
      <w:r w:rsidRPr="00175D0B">
        <w:rPr>
          <w:rFonts w:ascii="Times New Roman" w:hAnsi="Times New Roman" w:cs="Times New Roman"/>
        </w:rPr>
        <w:t>, n° 04 (93), p. 109-124.</w:t>
      </w:r>
    </w:p>
    <w:p w14:paraId="5043B6AB" w14:textId="77777777" w:rsidR="001576F1" w:rsidRPr="00A30D42" w:rsidRDefault="001576F1" w:rsidP="001576F1">
      <w:pPr>
        <w:spacing w:after="120"/>
        <w:jc w:val="both"/>
        <w:rPr>
          <w:rFonts w:ascii="Times New Roman" w:hAnsi="Times New Roman" w:cs="Times New Roman"/>
        </w:rPr>
      </w:pPr>
      <w:r w:rsidRPr="00A30D42">
        <w:rPr>
          <w:rFonts w:ascii="Times New Roman" w:hAnsi="Times New Roman" w:cs="Times New Roman"/>
        </w:rPr>
        <w:t xml:space="preserve">Haraway, D. (1991). </w:t>
      </w:r>
      <w:r w:rsidRPr="00A30D42">
        <w:rPr>
          <w:rFonts w:ascii="Times New Roman" w:hAnsi="Times New Roman" w:cs="Times New Roman"/>
          <w:i/>
          <w:iCs/>
        </w:rPr>
        <w:t>Simians, cyborgs, and women: The reinvention of nature</w:t>
      </w:r>
      <w:r w:rsidRPr="00A30D42">
        <w:rPr>
          <w:rFonts w:ascii="Times New Roman" w:hAnsi="Times New Roman" w:cs="Times New Roman"/>
        </w:rPr>
        <w:t>. Routledge.</w:t>
      </w:r>
    </w:p>
    <w:p w14:paraId="50C39E54" w14:textId="77777777" w:rsidR="001576F1" w:rsidRPr="00A30D42" w:rsidRDefault="001576F1" w:rsidP="001576F1">
      <w:pPr>
        <w:spacing w:after="120"/>
        <w:jc w:val="both"/>
        <w:rPr>
          <w:rFonts w:ascii="Times New Roman" w:hAnsi="Times New Roman" w:cs="Times New Roman"/>
        </w:rPr>
      </w:pPr>
      <w:r w:rsidRPr="00A30D42">
        <w:rPr>
          <w:rFonts w:ascii="Times New Roman" w:hAnsi="Times New Roman" w:cs="Times New Roman"/>
        </w:rPr>
        <w:t xml:space="preserve">Hui, Y. (2016). </w:t>
      </w:r>
      <w:r w:rsidRPr="00A30D42">
        <w:rPr>
          <w:rFonts w:ascii="Times New Roman" w:hAnsi="Times New Roman" w:cs="Times New Roman"/>
          <w:i/>
          <w:iCs/>
        </w:rPr>
        <w:t>The question concerning technology in China: An essay in cosmotechnics</w:t>
      </w:r>
      <w:r w:rsidRPr="00A30D42">
        <w:rPr>
          <w:rFonts w:ascii="Times New Roman" w:hAnsi="Times New Roman" w:cs="Times New Roman"/>
        </w:rPr>
        <w:t>. . Open Humanities Press.</w:t>
      </w:r>
    </w:p>
    <w:p w14:paraId="7B9DDF0B" w14:textId="77777777" w:rsidR="001576F1" w:rsidRPr="00A30D42" w:rsidRDefault="001576F1" w:rsidP="001576F1">
      <w:pPr>
        <w:spacing w:after="120"/>
        <w:jc w:val="both"/>
        <w:rPr>
          <w:rFonts w:ascii="Times New Roman" w:hAnsi="Times New Roman" w:cs="Times New Roman"/>
        </w:rPr>
      </w:pPr>
      <w:r w:rsidRPr="00A30D42">
        <w:rPr>
          <w:rFonts w:ascii="Times New Roman" w:hAnsi="Times New Roman" w:cs="Times New Roman"/>
        </w:rPr>
        <w:lastRenderedPageBreak/>
        <w:t xml:space="preserve">Ingold, T. (2011). </w:t>
      </w:r>
      <w:r w:rsidRPr="00A30D42">
        <w:rPr>
          <w:rFonts w:ascii="Times New Roman" w:hAnsi="Times New Roman" w:cs="Times New Roman"/>
          <w:i/>
          <w:iCs/>
        </w:rPr>
        <w:t>Being alive: Essays on movement, knowledge and description</w:t>
      </w:r>
      <w:r w:rsidRPr="00A30D42">
        <w:rPr>
          <w:rFonts w:ascii="Times New Roman" w:hAnsi="Times New Roman" w:cs="Times New Roman"/>
        </w:rPr>
        <w:t xml:space="preserve">. </w:t>
      </w:r>
      <w:r>
        <w:rPr>
          <w:rFonts w:ascii="Times New Roman" w:hAnsi="Times New Roman" w:cs="Times New Roman"/>
        </w:rPr>
        <w:t>C</w:t>
      </w:r>
      <w:r w:rsidRPr="00A30D42">
        <w:rPr>
          <w:rFonts w:ascii="Times New Roman" w:hAnsi="Times New Roman" w:cs="Times New Roman"/>
        </w:rPr>
        <w:t>amborge: Routledge.</w:t>
      </w:r>
    </w:p>
    <w:p w14:paraId="7282A3BA" w14:textId="7777777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 xml:space="preserve">Kiyindou, A., Damome, E., Akam. N. </w:t>
      </w:r>
      <w:r w:rsidRPr="00175D0B">
        <w:rPr>
          <w:rFonts w:ascii="Times New Roman" w:hAnsi="Times New Roman" w:cs="Times New Roman"/>
          <w:i/>
          <w:iCs/>
        </w:rPr>
        <w:t>Intelligence Artificielle. Questions éthiques et enjeux socioéconomiques</w:t>
      </w:r>
      <w:r w:rsidRPr="00175D0B">
        <w:rPr>
          <w:rFonts w:ascii="Times New Roman" w:hAnsi="Times New Roman" w:cs="Times New Roman"/>
        </w:rPr>
        <w:t>. Paris, L’Harmattan, 2022.</w:t>
      </w:r>
    </w:p>
    <w:p w14:paraId="18D004CB" w14:textId="77777777" w:rsidR="001576F1" w:rsidRPr="00A30D42" w:rsidRDefault="001576F1" w:rsidP="001576F1">
      <w:pPr>
        <w:spacing w:after="120"/>
        <w:jc w:val="both"/>
        <w:rPr>
          <w:rFonts w:ascii="Times New Roman" w:hAnsi="Times New Roman" w:cs="Times New Roman"/>
        </w:rPr>
      </w:pPr>
      <w:r w:rsidRPr="00A30D42">
        <w:rPr>
          <w:rFonts w:ascii="Times New Roman" w:hAnsi="Times New Roman" w:cs="Times New Roman"/>
        </w:rPr>
        <w:t xml:space="preserve">Manovich, L. (2001). </w:t>
      </w:r>
      <w:r w:rsidRPr="00A30D42">
        <w:rPr>
          <w:rFonts w:ascii="Times New Roman" w:hAnsi="Times New Roman" w:cs="Times New Roman"/>
          <w:i/>
          <w:iCs/>
        </w:rPr>
        <w:t>The Language of New Media</w:t>
      </w:r>
      <w:r w:rsidRPr="00A30D42">
        <w:rPr>
          <w:rFonts w:ascii="Times New Roman" w:hAnsi="Times New Roman" w:cs="Times New Roman"/>
        </w:rPr>
        <w:t>. Massachusetts</w:t>
      </w:r>
      <w:r>
        <w:rPr>
          <w:rFonts w:ascii="Times New Roman" w:hAnsi="Times New Roman" w:cs="Times New Roman"/>
        </w:rPr>
        <w:t>-</w:t>
      </w:r>
      <w:r w:rsidRPr="00A30D42">
        <w:rPr>
          <w:rFonts w:ascii="Times New Roman" w:hAnsi="Times New Roman" w:cs="Times New Roman"/>
        </w:rPr>
        <w:t>London, England: The MIT Press Cambridge .</w:t>
      </w:r>
    </w:p>
    <w:p w14:paraId="7F549AB6" w14:textId="7777777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Ménard, J.-F. (2006). Le modèle unique « d’État en question ». Revue Internationale de Politique Comparée. Vol. 13, n° 4, p. 681-696.</w:t>
      </w:r>
    </w:p>
    <w:p w14:paraId="6BC03672" w14:textId="7777777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 xml:space="preserve">Mignolo, W. D. (2015). </w:t>
      </w:r>
      <w:r w:rsidRPr="00175D0B">
        <w:rPr>
          <w:rFonts w:ascii="Times New Roman" w:hAnsi="Times New Roman" w:cs="Times New Roman"/>
          <w:i/>
          <w:iCs/>
        </w:rPr>
        <w:t>La désobéissance épistémique : Rhétorique de la modernité, logique de la colonialité et grammaire de la décolonialité</w:t>
      </w:r>
      <w:r w:rsidRPr="00175D0B">
        <w:rPr>
          <w:rFonts w:ascii="Times New Roman" w:hAnsi="Times New Roman" w:cs="Times New Roman"/>
        </w:rPr>
        <w:t xml:space="preserve"> (1ʳᵉ éd. Argentine 2011, p. 39). Bruxelles : Peter Lang.</w:t>
      </w:r>
    </w:p>
    <w:p w14:paraId="47F596D8" w14:textId="77777777" w:rsidR="001576F1" w:rsidRPr="00175D0B" w:rsidRDefault="001576F1" w:rsidP="001576F1">
      <w:pPr>
        <w:spacing w:after="120"/>
        <w:jc w:val="both"/>
        <w:rPr>
          <w:rFonts w:ascii="Times New Roman" w:hAnsi="Times New Roman" w:cs="Times New Roman"/>
          <w:lang w:val="en-US"/>
        </w:rPr>
      </w:pPr>
      <w:r w:rsidRPr="00175D0B">
        <w:rPr>
          <w:rFonts w:ascii="Times New Roman" w:hAnsi="Times New Roman" w:cs="Times New Roman"/>
          <w:lang w:val="en-US"/>
        </w:rPr>
        <w:t xml:space="preserve">Mignolo, W. D., &amp; Walsh, C. (2018). </w:t>
      </w:r>
      <w:r w:rsidRPr="00175D0B">
        <w:rPr>
          <w:rFonts w:ascii="Times New Roman" w:hAnsi="Times New Roman" w:cs="Times New Roman"/>
          <w:i/>
          <w:iCs/>
          <w:lang w:val="en-US"/>
        </w:rPr>
        <w:t>On decoloniality: Concepts, analytics, praxis</w:t>
      </w:r>
      <w:r w:rsidRPr="00175D0B">
        <w:rPr>
          <w:rFonts w:ascii="Times New Roman" w:hAnsi="Times New Roman" w:cs="Times New Roman"/>
          <w:lang w:val="en-US"/>
        </w:rPr>
        <w:t>. Durham: Duke University Press.</w:t>
      </w:r>
    </w:p>
    <w:p w14:paraId="33A8B7CF" w14:textId="77777777" w:rsidR="001576F1" w:rsidRPr="00175D0B" w:rsidRDefault="001576F1" w:rsidP="001576F1">
      <w:pPr>
        <w:spacing w:after="120"/>
        <w:jc w:val="both"/>
        <w:rPr>
          <w:rFonts w:ascii="Times New Roman" w:hAnsi="Times New Roman" w:cs="Times New Roman"/>
          <w:lang w:val="en-US"/>
        </w:rPr>
      </w:pPr>
      <w:r w:rsidRPr="00175D0B">
        <w:rPr>
          <w:rFonts w:ascii="Times New Roman" w:hAnsi="Times New Roman" w:cs="Times New Roman"/>
          <w:lang w:val="en-US"/>
        </w:rPr>
        <w:t>Nkoudou, T. H. M. (2022). High-stake conditions to catalyse local sustainable development through Fablabs in Africa. In </w:t>
      </w:r>
      <w:r w:rsidRPr="00175D0B">
        <w:rPr>
          <w:rFonts w:ascii="Times New Roman" w:hAnsi="Times New Roman" w:cs="Times New Roman"/>
          <w:i/>
          <w:iCs/>
          <w:lang w:val="en-US"/>
        </w:rPr>
        <w:t>Handbook of Innovation &amp; Appropriate Technologies for International Development</w:t>
      </w:r>
      <w:r w:rsidRPr="00175D0B">
        <w:rPr>
          <w:rFonts w:ascii="Times New Roman" w:hAnsi="Times New Roman" w:cs="Times New Roman"/>
          <w:lang w:val="en-US"/>
        </w:rPr>
        <w:t> (pp. 222-239). Edward Elgar Publishing.</w:t>
      </w:r>
    </w:p>
    <w:p w14:paraId="6AA043C8" w14:textId="77777777" w:rsidR="001576F1" w:rsidRPr="00A30D42" w:rsidRDefault="001576F1" w:rsidP="001576F1">
      <w:pPr>
        <w:spacing w:after="120"/>
        <w:jc w:val="both"/>
        <w:rPr>
          <w:rFonts w:ascii="Times New Roman" w:hAnsi="Times New Roman" w:cs="Times New Roman"/>
        </w:rPr>
      </w:pPr>
      <w:r w:rsidRPr="00A30D42">
        <w:rPr>
          <w:rFonts w:ascii="Times New Roman" w:hAnsi="Times New Roman" w:cs="Times New Roman"/>
        </w:rPr>
        <w:t>O</w:t>
      </w:r>
      <w:r w:rsidRPr="00A30D42">
        <w:rPr>
          <w:rFonts w:ascii="Times New Roman" w:hAnsi="Times New Roman" w:cs="Times New Roman" w:hint="cs"/>
        </w:rPr>
        <w:t>’</w:t>
      </w:r>
      <w:r w:rsidRPr="00A30D42">
        <w:rPr>
          <w:rFonts w:ascii="Times New Roman" w:hAnsi="Times New Roman" w:cs="Times New Roman"/>
        </w:rPr>
        <w:t xml:space="preserve">Neil, C. (2016). </w:t>
      </w:r>
      <w:r w:rsidRPr="00A30D42">
        <w:rPr>
          <w:rFonts w:ascii="Times New Roman" w:hAnsi="Times New Roman" w:cs="Times New Roman"/>
          <w:i/>
          <w:iCs/>
        </w:rPr>
        <w:t>Weapons of math destruction: How big data increases inequality and threatens democracy</w:t>
      </w:r>
      <w:r w:rsidRPr="00A30D42">
        <w:rPr>
          <w:rFonts w:ascii="Times New Roman" w:hAnsi="Times New Roman" w:cs="Times New Roman"/>
        </w:rPr>
        <w:t>. Crown.</w:t>
      </w:r>
    </w:p>
    <w:p w14:paraId="215549B7" w14:textId="77777777" w:rsidR="001576F1" w:rsidRPr="00175D0B" w:rsidRDefault="001576F1" w:rsidP="001576F1">
      <w:pPr>
        <w:spacing w:after="120"/>
        <w:jc w:val="both"/>
        <w:rPr>
          <w:rFonts w:ascii="Times New Roman" w:hAnsi="Times New Roman" w:cs="Times New Roman"/>
          <w:lang w:val="en-US"/>
        </w:rPr>
      </w:pPr>
      <w:r w:rsidRPr="00175D0B">
        <w:rPr>
          <w:rFonts w:ascii="Times New Roman" w:hAnsi="Times New Roman" w:cs="Times New Roman"/>
          <w:lang w:val="en-US"/>
        </w:rPr>
        <w:t xml:space="preserve">Oyedemi, T. D., &amp; Choung, M. (2020). Digital inequality and youth unemployment. </w:t>
      </w:r>
      <w:r w:rsidRPr="00175D0B">
        <w:rPr>
          <w:rFonts w:ascii="Times New Roman" w:hAnsi="Times New Roman" w:cs="Times New Roman"/>
          <w:i/>
          <w:iCs/>
          <w:lang w:val="en-US"/>
        </w:rPr>
        <w:t>Communicatio : South African Journal for Communication Theory and Research, 46</w:t>
      </w:r>
      <w:r w:rsidRPr="00175D0B">
        <w:rPr>
          <w:rFonts w:ascii="Times New Roman" w:hAnsi="Times New Roman" w:cs="Times New Roman"/>
          <w:lang w:val="en-US"/>
        </w:rPr>
        <w:t>(2), 199–215. https://doi.org/10.1080/02500167.2020.1821738</w:t>
      </w:r>
    </w:p>
    <w:p w14:paraId="5FF9C732" w14:textId="7777777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rPr>
        <w:t xml:space="preserve">Perriault, J. (2002). </w:t>
      </w:r>
      <w:r w:rsidRPr="00175D0B">
        <w:rPr>
          <w:rFonts w:ascii="Times New Roman" w:hAnsi="Times New Roman" w:cs="Times New Roman"/>
          <w:i/>
          <w:iCs/>
        </w:rPr>
        <w:t>La logique de l’usage : Essai sur les machines à communiquer</w:t>
      </w:r>
      <w:r w:rsidRPr="00175D0B">
        <w:rPr>
          <w:rFonts w:ascii="Times New Roman" w:hAnsi="Times New Roman" w:cs="Times New Roman"/>
        </w:rPr>
        <w:t>. Paris : L’Harmattan.</w:t>
      </w:r>
    </w:p>
    <w:p w14:paraId="0C5BC194" w14:textId="77777777" w:rsidR="001576F1" w:rsidRPr="00175D0B" w:rsidRDefault="001576F1" w:rsidP="001576F1">
      <w:pPr>
        <w:spacing w:after="120"/>
        <w:jc w:val="both"/>
        <w:rPr>
          <w:rFonts w:ascii="Times New Roman" w:hAnsi="Times New Roman" w:cs="Times New Roman"/>
          <w:lang w:val="en-US"/>
        </w:rPr>
      </w:pPr>
      <w:r w:rsidRPr="00175D0B">
        <w:rPr>
          <w:rFonts w:ascii="Times New Roman" w:hAnsi="Times New Roman" w:cs="Times New Roman"/>
          <w:lang w:val="en-US"/>
        </w:rPr>
        <w:t xml:space="preserve">Quijano, A. (2000). Coloniality of power, Eurocentrism, and Latin America. </w:t>
      </w:r>
      <w:r w:rsidRPr="00175D0B">
        <w:rPr>
          <w:rFonts w:ascii="Times New Roman" w:hAnsi="Times New Roman" w:cs="Times New Roman"/>
          <w:i/>
          <w:iCs/>
          <w:lang w:val="en-US"/>
        </w:rPr>
        <w:t>Nepantla: Views from South, 1</w:t>
      </w:r>
      <w:r w:rsidRPr="00175D0B">
        <w:rPr>
          <w:rFonts w:ascii="Times New Roman" w:hAnsi="Times New Roman" w:cs="Times New Roman"/>
          <w:lang w:val="en-US"/>
        </w:rPr>
        <w:t>(3), 533–580.</w:t>
      </w:r>
    </w:p>
    <w:p w14:paraId="371DFA45" w14:textId="7777777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lang w:val="en-US"/>
        </w:rPr>
        <w:t xml:space="preserve">Radjou, N., Prabhu, J., &amp; Ahuja, S. (2012). </w:t>
      </w:r>
      <w:r w:rsidRPr="00175D0B">
        <w:rPr>
          <w:rFonts w:ascii="Times New Roman" w:hAnsi="Times New Roman" w:cs="Times New Roman"/>
          <w:i/>
          <w:iCs/>
          <w:lang w:val="en-US"/>
        </w:rPr>
        <w:t>Jugaad innovation: Think frugal, be flexible, generate breakthrough growth</w:t>
      </w:r>
      <w:r w:rsidRPr="00175D0B">
        <w:rPr>
          <w:rFonts w:ascii="Times New Roman" w:hAnsi="Times New Roman" w:cs="Times New Roman"/>
          <w:lang w:val="en-US"/>
        </w:rPr>
        <w:t xml:space="preserve">. </w:t>
      </w:r>
      <w:r w:rsidRPr="00175D0B">
        <w:rPr>
          <w:rFonts w:ascii="Times New Roman" w:hAnsi="Times New Roman" w:cs="Times New Roman"/>
        </w:rPr>
        <w:t>San Francisco : Jossey-Bass.</w:t>
      </w:r>
    </w:p>
    <w:p w14:paraId="1417090D" w14:textId="77777777" w:rsidR="001576F1" w:rsidRPr="00175D0B" w:rsidRDefault="001576F1" w:rsidP="001576F1">
      <w:pPr>
        <w:spacing w:after="120"/>
        <w:jc w:val="both"/>
        <w:rPr>
          <w:rFonts w:ascii="Times New Roman" w:hAnsi="Times New Roman" w:cs="Times New Roman"/>
          <w:lang w:val="en-US"/>
        </w:rPr>
      </w:pPr>
      <w:r w:rsidRPr="00175D0B">
        <w:rPr>
          <w:rFonts w:ascii="Times New Roman" w:hAnsi="Times New Roman" w:cs="Times New Roman"/>
        </w:rPr>
        <w:t xml:space="preserve">Roberts, J. S., &amp; Montoya, L. N. (2023). </w:t>
      </w:r>
      <w:r w:rsidRPr="00175D0B">
        <w:rPr>
          <w:rFonts w:ascii="Times New Roman" w:hAnsi="Times New Roman" w:cs="Times New Roman"/>
          <w:i/>
          <w:iCs/>
          <w:lang w:val="en-US"/>
        </w:rPr>
        <w:t>In consideration of Indigenous data sovereignty: Data mining as a colonial practice</w:t>
      </w:r>
      <w:r w:rsidRPr="00175D0B">
        <w:rPr>
          <w:rFonts w:ascii="Times New Roman" w:hAnsi="Times New Roman" w:cs="Times New Roman"/>
          <w:lang w:val="en-US"/>
        </w:rPr>
        <w:t xml:space="preserve">. </w:t>
      </w:r>
      <w:r w:rsidRPr="00175D0B">
        <w:rPr>
          <w:rFonts w:ascii="Times New Roman" w:hAnsi="Times New Roman" w:cs="Times New Roman"/>
          <w:i/>
          <w:iCs/>
          <w:lang w:val="en-US"/>
        </w:rPr>
        <w:t>ArXiv</w:t>
      </w:r>
      <w:r w:rsidRPr="00175D0B">
        <w:rPr>
          <w:rFonts w:ascii="Times New Roman" w:hAnsi="Times New Roman" w:cs="Times New Roman"/>
          <w:lang w:val="en-US"/>
        </w:rPr>
        <w:t>.</w:t>
      </w:r>
    </w:p>
    <w:p w14:paraId="52C30559" w14:textId="77777777" w:rsidR="001576F1" w:rsidRPr="00175D0B" w:rsidRDefault="001576F1" w:rsidP="001576F1">
      <w:pPr>
        <w:spacing w:after="120"/>
        <w:jc w:val="both"/>
        <w:rPr>
          <w:rFonts w:ascii="Times New Roman" w:hAnsi="Times New Roman" w:cs="Times New Roman"/>
          <w:lang w:val="en-US"/>
        </w:rPr>
      </w:pPr>
      <w:r w:rsidRPr="00175D0B">
        <w:rPr>
          <w:rFonts w:ascii="Times New Roman" w:hAnsi="Times New Roman" w:cs="Times New Roman"/>
          <w:lang w:val="en-US"/>
        </w:rPr>
        <w:t xml:space="preserve">Rose, R. (1991). What is Lesson-Drawing? </w:t>
      </w:r>
      <w:r w:rsidRPr="00175D0B">
        <w:rPr>
          <w:rFonts w:ascii="Times New Roman" w:hAnsi="Times New Roman" w:cs="Times New Roman"/>
          <w:i/>
          <w:iCs/>
          <w:lang w:val="en-US"/>
        </w:rPr>
        <w:t>Journal of Public Policy</w:t>
      </w:r>
      <w:r w:rsidRPr="00175D0B">
        <w:rPr>
          <w:rFonts w:ascii="Times New Roman" w:hAnsi="Times New Roman" w:cs="Times New Roman"/>
          <w:lang w:val="en-US"/>
        </w:rPr>
        <w:t>, vol. 11, Issue 1, p. 3-30.</w:t>
      </w:r>
    </w:p>
    <w:p w14:paraId="1EB10811" w14:textId="77777777" w:rsidR="001576F1" w:rsidRPr="00A30D42" w:rsidRDefault="001576F1" w:rsidP="001576F1">
      <w:pPr>
        <w:spacing w:after="120"/>
        <w:jc w:val="both"/>
        <w:rPr>
          <w:rFonts w:ascii="Times New Roman" w:hAnsi="Times New Roman" w:cs="Times New Roman"/>
        </w:rPr>
      </w:pPr>
      <w:r w:rsidRPr="00A30D42">
        <w:rPr>
          <w:rFonts w:ascii="Times New Roman" w:hAnsi="Times New Roman" w:cs="Times New Roman"/>
        </w:rPr>
        <w:t xml:space="preserve">Ruba, B. (2019). </w:t>
      </w:r>
      <w:r w:rsidRPr="00A30D42">
        <w:rPr>
          <w:rFonts w:ascii="Times New Roman" w:hAnsi="Times New Roman" w:cs="Times New Roman"/>
          <w:i/>
          <w:iCs/>
        </w:rPr>
        <w:t>Race after technology: Abolitionist tools for the new Jim code</w:t>
      </w:r>
      <w:r w:rsidRPr="00A30D42">
        <w:rPr>
          <w:rFonts w:ascii="Times New Roman" w:hAnsi="Times New Roman" w:cs="Times New Roman"/>
        </w:rPr>
        <w:t>. Polity Press.</w:t>
      </w:r>
    </w:p>
    <w:p w14:paraId="088F3AC3" w14:textId="7777777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lang w:val="en-US"/>
        </w:rPr>
        <w:t xml:space="preserve">Santos, B. de S. (2011). </w:t>
      </w:r>
      <w:r w:rsidRPr="00175D0B">
        <w:rPr>
          <w:rFonts w:ascii="Times New Roman" w:hAnsi="Times New Roman" w:cs="Times New Roman"/>
          <w:i/>
          <w:iCs/>
          <w:lang w:val="en-US"/>
        </w:rPr>
        <w:t>Epistemologies of the South: Justice against epistemicide</w:t>
      </w:r>
      <w:r w:rsidRPr="00175D0B">
        <w:rPr>
          <w:rFonts w:ascii="Times New Roman" w:hAnsi="Times New Roman" w:cs="Times New Roman"/>
          <w:lang w:val="en-US"/>
        </w:rPr>
        <w:t xml:space="preserve">. </w:t>
      </w:r>
      <w:r w:rsidRPr="00175D0B">
        <w:rPr>
          <w:rFonts w:ascii="Times New Roman" w:hAnsi="Times New Roman" w:cs="Times New Roman"/>
        </w:rPr>
        <w:t>Boulder : Paradigm Publishers.</w:t>
      </w:r>
    </w:p>
    <w:p w14:paraId="79CE025C" w14:textId="7777777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lang w:val="en-US"/>
        </w:rPr>
        <w:t xml:space="preserve">Scott, J. C. (1990). </w:t>
      </w:r>
      <w:r w:rsidRPr="00175D0B">
        <w:rPr>
          <w:rFonts w:ascii="Times New Roman" w:hAnsi="Times New Roman" w:cs="Times New Roman"/>
          <w:i/>
          <w:iCs/>
          <w:lang w:val="en-US"/>
        </w:rPr>
        <w:t>Domination and the arts of resistance: Hidden transcripts</w:t>
      </w:r>
      <w:r w:rsidRPr="00175D0B">
        <w:rPr>
          <w:rFonts w:ascii="Times New Roman" w:hAnsi="Times New Roman" w:cs="Times New Roman"/>
          <w:lang w:val="en-US"/>
        </w:rPr>
        <w:t xml:space="preserve">. </w:t>
      </w:r>
      <w:r w:rsidRPr="00175D0B">
        <w:rPr>
          <w:rFonts w:ascii="Times New Roman" w:hAnsi="Times New Roman" w:cs="Times New Roman"/>
        </w:rPr>
        <w:t>New Haven : Yale University Press.</w:t>
      </w:r>
    </w:p>
    <w:p w14:paraId="6F3D741D" w14:textId="7777777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lang w:val="en-US"/>
        </w:rPr>
        <w:t xml:space="preserve">Smith, L. T. (2012). </w:t>
      </w:r>
      <w:r w:rsidRPr="00175D0B">
        <w:rPr>
          <w:rFonts w:ascii="Times New Roman" w:hAnsi="Times New Roman" w:cs="Times New Roman"/>
          <w:i/>
          <w:iCs/>
          <w:lang w:val="en-US"/>
        </w:rPr>
        <w:t>Decolonizing methodologies: Research and Indigenous Peoples</w:t>
      </w:r>
      <w:r w:rsidRPr="00175D0B">
        <w:rPr>
          <w:rFonts w:ascii="Times New Roman" w:hAnsi="Times New Roman" w:cs="Times New Roman"/>
          <w:lang w:val="en-US"/>
        </w:rPr>
        <w:t xml:space="preserve"> (2</w:t>
      </w:r>
      <w:r w:rsidRPr="00175D0B">
        <w:rPr>
          <w:rFonts w:ascii="Times New Roman" w:hAnsi="Times New Roman" w:cs="Times New Roman"/>
        </w:rPr>
        <w:t>ᵉ</w:t>
      </w:r>
      <w:r w:rsidRPr="00175D0B">
        <w:rPr>
          <w:rFonts w:ascii="Times New Roman" w:hAnsi="Times New Roman" w:cs="Times New Roman"/>
          <w:lang w:val="en-US"/>
        </w:rPr>
        <w:t xml:space="preserve"> éd.). </w:t>
      </w:r>
      <w:r w:rsidRPr="00175D0B">
        <w:rPr>
          <w:rFonts w:ascii="Times New Roman" w:hAnsi="Times New Roman" w:cs="Times New Roman"/>
        </w:rPr>
        <w:t>London : Zed Books.</w:t>
      </w:r>
    </w:p>
    <w:p w14:paraId="239C5D92" w14:textId="2B29B39B"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lang w:val="en-US"/>
        </w:rPr>
        <w:lastRenderedPageBreak/>
        <w:t xml:space="preserve">Spivak, G. C. (1988). Can the subaltern speak? In C. Nelson &amp; L. Grossberg (Eds.), </w:t>
      </w:r>
      <w:r w:rsidRPr="00175D0B">
        <w:rPr>
          <w:rFonts w:ascii="Times New Roman" w:hAnsi="Times New Roman" w:cs="Times New Roman"/>
          <w:i/>
          <w:iCs/>
          <w:lang w:val="en-US"/>
        </w:rPr>
        <w:t>Marxism and the interpretation of culture</w:t>
      </w:r>
      <w:r w:rsidRPr="00175D0B">
        <w:rPr>
          <w:rFonts w:ascii="Times New Roman" w:hAnsi="Times New Roman" w:cs="Times New Roman"/>
          <w:lang w:val="en-US"/>
        </w:rPr>
        <w:t xml:space="preserve"> (pp. 271–313). Chicago: University of Illinois Press.</w:t>
      </w:r>
      <w:r w:rsidRPr="00175D0B">
        <w:rPr>
          <w:rFonts w:ascii="Times New Roman" w:hAnsi="Times New Roman" w:cs="Times New Roman"/>
          <w:i/>
          <w:iCs/>
          <w:lang w:val="en-US"/>
        </w:rPr>
        <w:t xml:space="preserve"> (Traduction française: Spivak, G. C. (2006). </w:t>
      </w:r>
      <w:r w:rsidRPr="00175D0B">
        <w:rPr>
          <w:rFonts w:ascii="Times New Roman" w:hAnsi="Times New Roman" w:cs="Times New Roman"/>
          <w:i/>
          <w:iCs/>
        </w:rPr>
        <w:t>Les subalternes peuvent-elles parler ? (J. Vidal, Trad.). Paris : Éditions Amsterdam.)</w:t>
      </w:r>
    </w:p>
    <w:p w14:paraId="40BE6635" w14:textId="77777777" w:rsidR="001576F1" w:rsidRPr="00175D0B" w:rsidRDefault="001576F1" w:rsidP="001576F1">
      <w:pPr>
        <w:spacing w:after="120"/>
        <w:jc w:val="both"/>
        <w:rPr>
          <w:rFonts w:ascii="Times New Roman" w:hAnsi="Times New Roman" w:cs="Times New Roman"/>
        </w:rPr>
      </w:pPr>
      <w:r w:rsidRPr="00175D0B">
        <w:rPr>
          <w:rFonts w:ascii="Times New Roman" w:hAnsi="Times New Roman" w:cs="Times New Roman"/>
          <w:lang w:val="en-US"/>
        </w:rPr>
        <w:t xml:space="preserve">Stepanova, E. (2011). </w:t>
      </w:r>
      <w:r w:rsidRPr="00175D0B">
        <w:rPr>
          <w:rFonts w:ascii="Times New Roman" w:hAnsi="Times New Roman" w:cs="Times New Roman"/>
          <w:i/>
          <w:iCs/>
          <w:lang w:val="en-US"/>
        </w:rPr>
        <w:t>The role of information communication technologies in the ‘Arab Spring’:</w:t>
      </w:r>
      <w:r w:rsidRPr="00175D0B">
        <w:rPr>
          <w:rFonts w:ascii="Times New Roman" w:hAnsi="Times New Roman" w:cs="Times New Roman"/>
          <w:lang w:val="en-US"/>
        </w:rPr>
        <w:t xml:space="preserve"> </w:t>
      </w:r>
      <w:r w:rsidRPr="00175D0B">
        <w:rPr>
          <w:rFonts w:ascii="Times New Roman" w:hAnsi="Times New Roman" w:cs="Times New Roman"/>
          <w:i/>
          <w:iCs/>
          <w:lang w:val="en-US"/>
        </w:rPr>
        <w:t>Implications beyond the region</w:t>
      </w:r>
      <w:r w:rsidRPr="00175D0B">
        <w:rPr>
          <w:rFonts w:ascii="Times New Roman" w:hAnsi="Times New Roman" w:cs="Times New Roman"/>
          <w:lang w:val="en-US"/>
        </w:rPr>
        <w:t xml:space="preserve"> (Policy Memo No. 159). </w:t>
      </w:r>
      <w:r w:rsidRPr="00175D0B">
        <w:rPr>
          <w:rFonts w:ascii="Times New Roman" w:hAnsi="Times New Roman" w:cs="Times New Roman"/>
        </w:rPr>
        <w:t>PONARS Eurasia.</w:t>
      </w:r>
    </w:p>
    <w:p w14:paraId="6363D39F" w14:textId="77777777" w:rsidR="001576F1" w:rsidRDefault="001576F1" w:rsidP="001576F1">
      <w:pPr>
        <w:spacing w:after="120"/>
        <w:jc w:val="both"/>
        <w:rPr>
          <w:rFonts w:ascii="Times New Roman" w:hAnsi="Times New Roman" w:cs="Times New Roman"/>
        </w:rPr>
      </w:pPr>
      <w:r w:rsidRPr="00175D0B">
        <w:rPr>
          <w:rFonts w:ascii="Times New Roman" w:hAnsi="Times New Roman" w:cs="Times New Roman"/>
        </w:rPr>
        <w:t xml:space="preserve">Zind, R. G. (1978). L’hypothèse hicksienne de neutralité technologique : analyse et estimation. </w:t>
      </w:r>
      <w:r w:rsidRPr="00175D0B">
        <w:rPr>
          <w:rFonts w:ascii="Times New Roman" w:hAnsi="Times New Roman" w:cs="Times New Roman"/>
          <w:i/>
          <w:iCs/>
        </w:rPr>
        <w:t>Actualité économique</w:t>
      </w:r>
      <w:r w:rsidRPr="00175D0B">
        <w:rPr>
          <w:rFonts w:ascii="Times New Roman" w:hAnsi="Times New Roman" w:cs="Times New Roman"/>
        </w:rPr>
        <w:t xml:space="preserve"> n° 10, Vol.54 (4), p. 531-538.</w:t>
      </w:r>
    </w:p>
    <w:p w14:paraId="07BA68D6" w14:textId="77777777" w:rsidR="001576F1" w:rsidRPr="00175D0B" w:rsidRDefault="001576F1" w:rsidP="001576F1">
      <w:pPr>
        <w:spacing w:after="120"/>
        <w:jc w:val="both"/>
        <w:rPr>
          <w:rFonts w:ascii="Times New Roman" w:hAnsi="Times New Roman" w:cs="Times New Roman"/>
        </w:rPr>
      </w:pPr>
      <w:r w:rsidRPr="00A30D42">
        <w:rPr>
          <w:rFonts w:ascii="Times New Roman" w:hAnsi="Times New Roman" w:cs="Times New Roman"/>
        </w:rPr>
        <w:t xml:space="preserve">Zuboff, S. (2019). </w:t>
      </w:r>
      <w:r w:rsidRPr="00A30D42">
        <w:rPr>
          <w:rFonts w:ascii="Times New Roman" w:hAnsi="Times New Roman" w:cs="Times New Roman"/>
          <w:i/>
          <w:iCs/>
        </w:rPr>
        <w:t>The age of surveillance capitalism: The fight for a human future at the new frontier of power</w:t>
      </w:r>
      <w:r w:rsidRPr="00A30D42">
        <w:rPr>
          <w:rFonts w:ascii="Times New Roman" w:hAnsi="Times New Roman" w:cs="Times New Roman"/>
        </w:rPr>
        <w:t>. Public</w:t>
      </w:r>
      <w:r>
        <w:rPr>
          <w:rFonts w:ascii="Times New Roman" w:hAnsi="Times New Roman" w:cs="Times New Roman"/>
        </w:rPr>
        <w:t xml:space="preserve"> </w:t>
      </w:r>
      <w:r w:rsidRPr="00A30D42">
        <w:rPr>
          <w:rFonts w:ascii="Times New Roman" w:hAnsi="Times New Roman" w:cs="Times New Roman"/>
        </w:rPr>
        <w:t>Affairs.</w:t>
      </w:r>
      <w:bookmarkEnd w:id="0"/>
    </w:p>
    <w:p w14:paraId="0ABFD216" w14:textId="439FCF97" w:rsidR="001B6A26" w:rsidRPr="001576F1" w:rsidRDefault="001B6A26" w:rsidP="001576F1"/>
    <w:sectPr w:rsidR="001B6A26" w:rsidRPr="001576F1" w:rsidSect="00741552">
      <w:headerReference w:type="default" r:id="rId10"/>
      <w:footerReference w:type="default" r:id="rId11"/>
      <w:pgSz w:w="11900" w:h="16840" w:code="9"/>
      <w:pgMar w:top="1418" w:right="1418"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7A3AF" w14:textId="77777777" w:rsidR="00AE2A66" w:rsidRDefault="00AE2A66" w:rsidP="005D7334">
      <w:r>
        <w:separator/>
      </w:r>
    </w:p>
  </w:endnote>
  <w:endnote w:type="continuationSeparator" w:id="0">
    <w:p w14:paraId="200851C9" w14:textId="77777777" w:rsidR="00AE2A66" w:rsidRDefault="00AE2A66" w:rsidP="005D7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EBF76" w14:textId="77777777" w:rsidR="00353CBA" w:rsidRPr="00353CBA" w:rsidRDefault="00353CBA">
    <w:pPr>
      <w:pStyle w:val="Pieddepage"/>
      <w:rPr>
        <w:rFonts w:ascii="Arial" w:hAnsi="Arial"/>
        <w:b/>
        <w:color w:val="262626" w:themeColor="text1" w:themeTint="D9"/>
        <w:sz w:val="18"/>
      </w:rPr>
    </w:pPr>
    <w:r w:rsidRPr="00353CBA">
      <w:rPr>
        <w:rFonts w:ascii="Arial" w:hAnsi="Arial"/>
        <w:b/>
        <w:color w:val="262626" w:themeColor="text1" w:themeTint="D9"/>
        <w:sz w:val="18"/>
      </w:rPr>
      <w:t>MICA – EA 4426</w:t>
    </w:r>
  </w:p>
  <w:p w14:paraId="62E3DE98" w14:textId="77777777" w:rsidR="00353CBA" w:rsidRPr="000F697D" w:rsidRDefault="00353CBA" w:rsidP="00353CBA">
    <w:pPr>
      <w:pStyle w:val="Pieddepage"/>
      <w:spacing w:before="20"/>
      <w:rPr>
        <w:rFonts w:ascii="Arial" w:hAnsi="Arial"/>
        <w:color w:val="595959" w:themeColor="text1" w:themeTint="A6"/>
        <w:sz w:val="16"/>
      </w:rPr>
    </w:pPr>
    <w:r w:rsidRPr="000F697D">
      <w:rPr>
        <w:rFonts w:ascii="Arial" w:hAnsi="Arial"/>
        <w:color w:val="595959" w:themeColor="text1" w:themeTint="A6"/>
        <w:sz w:val="16"/>
      </w:rPr>
      <w:t>Maison des Sciences de l’Homme d’Aquitaine</w:t>
    </w:r>
  </w:p>
  <w:p w14:paraId="5ADF470E" w14:textId="77777777" w:rsidR="00353CBA" w:rsidRPr="000F697D" w:rsidRDefault="00353CBA" w:rsidP="00353CBA">
    <w:pPr>
      <w:pStyle w:val="Pieddepage"/>
      <w:spacing w:before="20"/>
      <w:rPr>
        <w:rFonts w:ascii="Arial" w:hAnsi="Arial"/>
        <w:color w:val="595959" w:themeColor="text1" w:themeTint="A6"/>
        <w:sz w:val="16"/>
      </w:rPr>
    </w:pPr>
    <w:r w:rsidRPr="000F697D">
      <w:rPr>
        <w:rFonts w:ascii="Arial" w:hAnsi="Arial"/>
        <w:color w:val="595959" w:themeColor="text1" w:themeTint="A6"/>
        <w:sz w:val="16"/>
      </w:rPr>
      <w:t>10 Esplanade des ANTILLES F-33607 PESSAC Cedex</w:t>
    </w:r>
  </w:p>
  <w:p w14:paraId="42B5DC1F" w14:textId="77777777" w:rsidR="00353CBA" w:rsidRPr="000F697D" w:rsidRDefault="00353CBA" w:rsidP="00353CBA">
    <w:pPr>
      <w:pStyle w:val="Pieddepage"/>
      <w:spacing w:before="20"/>
      <w:rPr>
        <w:rFonts w:ascii="Arial" w:hAnsi="Arial"/>
        <w:color w:val="595959" w:themeColor="text1" w:themeTint="A6"/>
        <w:sz w:val="16"/>
      </w:rPr>
    </w:pPr>
    <w:r w:rsidRPr="000F697D">
      <w:rPr>
        <w:rFonts w:ascii="Arial" w:hAnsi="Arial"/>
        <w:color w:val="595959" w:themeColor="text1" w:themeTint="A6"/>
        <w:sz w:val="16"/>
      </w:rPr>
      <w:t>Tél. +33(0)5 56 84 68 14</w:t>
    </w:r>
  </w:p>
  <w:p w14:paraId="55CA6AA6" w14:textId="77777777" w:rsidR="00353CBA" w:rsidRPr="000F697D" w:rsidRDefault="00353CBA" w:rsidP="00353CBA">
    <w:pPr>
      <w:pStyle w:val="Pieddepage"/>
      <w:spacing w:before="20"/>
      <w:rPr>
        <w:rFonts w:ascii="Arial" w:hAnsi="Arial"/>
        <w:color w:val="595959" w:themeColor="text1" w:themeTint="A6"/>
        <w:sz w:val="18"/>
      </w:rPr>
    </w:pPr>
    <w:r w:rsidRPr="000F697D">
      <w:rPr>
        <w:rFonts w:ascii="Arial" w:hAnsi="Arial"/>
        <w:color w:val="595959" w:themeColor="text1" w:themeTint="A6"/>
        <w:sz w:val="16"/>
      </w:rPr>
      <w:t>mica.u-bordeaux-montaigne.fr</w:t>
    </w:r>
  </w:p>
  <w:p w14:paraId="516A56E4" w14:textId="77777777" w:rsidR="00353CBA" w:rsidRPr="0041461D" w:rsidRDefault="00353CBA">
    <w:pPr>
      <w:pStyle w:val="Pieddepage"/>
      <w:rPr>
        <w:rFonts w:ascii="Arial" w:hAnsi="Arial"/>
        <w:b/>
        <w:color w:val="262626" w:themeColor="text1" w:themeTint="D9"/>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9EB76" w14:textId="77777777" w:rsidR="00AE2A66" w:rsidRDefault="00AE2A66" w:rsidP="005D7334">
      <w:r>
        <w:separator/>
      </w:r>
    </w:p>
  </w:footnote>
  <w:footnote w:type="continuationSeparator" w:id="0">
    <w:p w14:paraId="53E20C21" w14:textId="77777777" w:rsidR="00AE2A66" w:rsidRDefault="00AE2A66" w:rsidP="005D73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923AA" w14:textId="77777777" w:rsidR="00353CBA" w:rsidRDefault="00353CBA">
    <w:pPr>
      <w:pStyle w:val="En-tte"/>
    </w:pPr>
    <w:r>
      <w:rPr>
        <w:noProof/>
        <w:lang w:eastAsia="fr-FR"/>
      </w:rPr>
      <w:drawing>
        <wp:inline distT="0" distB="0" distL="0" distR="0" wp14:anchorId="542828DC" wp14:editId="23B46261">
          <wp:extent cx="2121408" cy="1161288"/>
          <wp:effectExtent l="25400" t="0" r="12192" b="0"/>
          <wp:docPr id="2" name="Image 1" descr="logopapier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apierhd.jpg"/>
                  <pic:cNvPicPr/>
                </pic:nvPicPr>
                <pic:blipFill>
                  <a:blip r:embed="rId1"/>
                  <a:stretch>
                    <a:fillRect/>
                  </a:stretch>
                </pic:blipFill>
                <pic:spPr>
                  <a:xfrm>
                    <a:off x="0" y="0"/>
                    <a:ext cx="2121408" cy="1161288"/>
                  </a:xfrm>
                  <a:prstGeom prst="rect">
                    <a:avLst/>
                  </a:prstGeom>
                </pic:spPr>
              </pic:pic>
            </a:graphicData>
          </a:graphic>
        </wp:inline>
      </w:drawing>
    </w:r>
    <w:r w:rsidR="00F84B88">
      <w:t xml:space="preserve">               </w:t>
    </w:r>
    <w:r w:rsidR="00F84B88" w:rsidRPr="00F84B88">
      <w:rPr>
        <w:rFonts w:ascii="Times New Roman" w:eastAsia="Times New Roman" w:hAnsi="Times New Roman" w:cs="Times New Roman"/>
        <w:noProof/>
        <w:lang w:eastAsia="fr-FR"/>
      </w:rPr>
      <w:drawing>
        <wp:inline distT="0" distB="0" distL="0" distR="0" wp14:anchorId="5A2EF0A3" wp14:editId="55D28F68">
          <wp:extent cx="3079163" cy="855185"/>
          <wp:effectExtent l="0" t="0" r="6985" b="2540"/>
          <wp:docPr id="3" name="Image 3" descr="C:\Users\ledamome\AppData\Local\Temp\Logo_complet Ch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damome\AppData\Local\Temp\Logo_complet Chair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20633" cy="89447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E64E1"/>
    <w:multiLevelType w:val="hybridMultilevel"/>
    <w:tmpl w:val="C5A272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006982"/>
    <w:multiLevelType w:val="hybridMultilevel"/>
    <w:tmpl w:val="A3EAD11A"/>
    <w:lvl w:ilvl="0" w:tplc="08EA3E9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A04108"/>
    <w:multiLevelType w:val="hybridMultilevel"/>
    <w:tmpl w:val="6E76392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20192906"/>
    <w:multiLevelType w:val="hybridMultilevel"/>
    <w:tmpl w:val="8F867308"/>
    <w:lvl w:ilvl="0" w:tplc="040C000D">
      <w:start w:val="1"/>
      <w:numFmt w:val="bullet"/>
      <w:lvlText w:val=""/>
      <w:lvlJc w:val="left"/>
      <w:pPr>
        <w:ind w:left="645" w:hanging="360"/>
      </w:pPr>
      <w:rPr>
        <w:rFonts w:ascii="Wingdings" w:hAnsi="Wingdings" w:hint="default"/>
      </w:rPr>
    </w:lvl>
    <w:lvl w:ilvl="1" w:tplc="040C0003" w:tentative="1">
      <w:start w:val="1"/>
      <w:numFmt w:val="bullet"/>
      <w:lvlText w:val="o"/>
      <w:lvlJc w:val="left"/>
      <w:pPr>
        <w:ind w:left="1365" w:hanging="360"/>
      </w:pPr>
      <w:rPr>
        <w:rFonts w:ascii="Courier New" w:hAnsi="Courier New" w:cs="Courier New" w:hint="default"/>
      </w:rPr>
    </w:lvl>
    <w:lvl w:ilvl="2" w:tplc="040C0005" w:tentative="1">
      <w:start w:val="1"/>
      <w:numFmt w:val="bullet"/>
      <w:lvlText w:val=""/>
      <w:lvlJc w:val="left"/>
      <w:pPr>
        <w:ind w:left="2085" w:hanging="360"/>
      </w:pPr>
      <w:rPr>
        <w:rFonts w:ascii="Wingdings" w:hAnsi="Wingdings" w:hint="default"/>
      </w:rPr>
    </w:lvl>
    <w:lvl w:ilvl="3" w:tplc="040C0001" w:tentative="1">
      <w:start w:val="1"/>
      <w:numFmt w:val="bullet"/>
      <w:lvlText w:val=""/>
      <w:lvlJc w:val="left"/>
      <w:pPr>
        <w:ind w:left="2805" w:hanging="360"/>
      </w:pPr>
      <w:rPr>
        <w:rFonts w:ascii="Symbol" w:hAnsi="Symbol" w:hint="default"/>
      </w:rPr>
    </w:lvl>
    <w:lvl w:ilvl="4" w:tplc="040C0003" w:tentative="1">
      <w:start w:val="1"/>
      <w:numFmt w:val="bullet"/>
      <w:lvlText w:val="o"/>
      <w:lvlJc w:val="left"/>
      <w:pPr>
        <w:ind w:left="3525" w:hanging="360"/>
      </w:pPr>
      <w:rPr>
        <w:rFonts w:ascii="Courier New" w:hAnsi="Courier New" w:cs="Courier New" w:hint="default"/>
      </w:rPr>
    </w:lvl>
    <w:lvl w:ilvl="5" w:tplc="040C0005" w:tentative="1">
      <w:start w:val="1"/>
      <w:numFmt w:val="bullet"/>
      <w:lvlText w:val=""/>
      <w:lvlJc w:val="left"/>
      <w:pPr>
        <w:ind w:left="4245" w:hanging="360"/>
      </w:pPr>
      <w:rPr>
        <w:rFonts w:ascii="Wingdings" w:hAnsi="Wingdings" w:hint="default"/>
      </w:rPr>
    </w:lvl>
    <w:lvl w:ilvl="6" w:tplc="040C0001" w:tentative="1">
      <w:start w:val="1"/>
      <w:numFmt w:val="bullet"/>
      <w:lvlText w:val=""/>
      <w:lvlJc w:val="left"/>
      <w:pPr>
        <w:ind w:left="4965" w:hanging="360"/>
      </w:pPr>
      <w:rPr>
        <w:rFonts w:ascii="Symbol" w:hAnsi="Symbol" w:hint="default"/>
      </w:rPr>
    </w:lvl>
    <w:lvl w:ilvl="7" w:tplc="040C0003" w:tentative="1">
      <w:start w:val="1"/>
      <w:numFmt w:val="bullet"/>
      <w:lvlText w:val="o"/>
      <w:lvlJc w:val="left"/>
      <w:pPr>
        <w:ind w:left="5685" w:hanging="360"/>
      </w:pPr>
      <w:rPr>
        <w:rFonts w:ascii="Courier New" w:hAnsi="Courier New" w:cs="Courier New" w:hint="default"/>
      </w:rPr>
    </w:lvl>
    <w:lvl w:ilvl="8" w:tplc="040C0005" w:tentative="1">
      <w:start w:val="1"/>
      <w:numFmt w:val="bullet"/>
      <w:lvlText w:val=""/>
      <w:lvlJc w:val="left"/>
      <w:pPr>
        <w:ind w:left="6405" w:hanging="360"/>
      </w:pPr>
      <w:rPr>
        <w:rFonts w:ascii="Wingdings" w:hAnsi="Wingdings" w:hint="default"/>
      </w:rPr>
    </w:lvl>
  </w:abstractNum>
  <w:abstractNum w:abstractNumId="4" w15:restartNumberingAfterBreak="0">
    <w:nsid w:val="3553783F"/>
    <w:multiLevelType w:val="multilevel"/>
    <w:tmpl w:val="98A440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3AC1386C"/>
    <w:multiLevelType w:val="hybridMultilevel"/>
    <w:tmpl w:val="D7E06BF4"/>
    <w:lvl w:ilvl="0" w:tplc="ACA4AD6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C18361D"/>
    <w:multiLevelType w:val="hybridMultilevel"/>
    <w:tmpl w:val="75FA80A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1E541C3"/>
    <w:multiLevelType w:val="hybridMultilevel"/>
    <w:tmpl w:val="2EF6E94C"/>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49F75359"/>
    <w:multiLevelType w:val="hybridMultilevel"/>
    <w:tmpl w:val="6A246A1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D0E5198"/>
    <w:multiLevelType w:val="hybridMultilevel"/>
    <w:tmpl w:val="6BA8A444"/>
    <w:lvl w:ilvl="0" w:tplc="DFAA06BA">
      <w:start w:val="1"/>
      <w:numFmt w:val="bullet"/>
      <w:lvlText w:val="-"/>
      <w:lvlJc w:val="left"/>
      <w:pPr>
        <w:ind w:left="1006" w:hanging="360"/>
      </w:pPr>
      <w:rPr>
        <w:rFonts w:ascii="Times New Roman" w:eastAsiaTheme="minorEastAsia" w:hAnsi="Times New Roman" w:cs="Times New Roman" w:hint="default"/>
      </w:rPr>
    </w:lvl>
    <w:lvl w:ilvl="1" w:tplc="040C0003" w:tentative="1">
      <w:start w:val="1"/>
      <w:numFmt w:val="bullet"/>
      <w:lvlText w:val="o"/>
      <w:lvlJc w:val="left"/>
      <w:pPr>
        <w:ind w:left="1726" w:hanging="360"/>
      </w:pPr>
      <w:rPr>
        <w:rFonts w:ascii="Courier New" w:hAnsi="Courier New" w:cs="Courier New" w:hint="default"/>
      </w:rPr>
    </w:lvl>
    <w:lvl w:ilvl="2" w:tplc="040C0005" w:tentative="1">
      <w:start w:val="1"/>
      <w:numFmt w:val="bullet"/>
      <w:lvlText w:val=""/>
      <w:lvlJc w:val="left"/>
      <w:pPr>
        <w:ind w:left="2446" w:hanging="360"/>
      </w:pPr>
      <w:rPr>
        <w:rFonts w:ascii="Wingdings" w:hAnsi="Wingdings" w:hint="default"/>
      </w:rPr>
    </w:lvl>
    <w:lvl w:ilvl="3" w:tplc="040C0001" w:tentative="1">
      <w:start w:val="1"/>
      <w:numFmt w:val="bullet"/>
      <w:lvlText w:val=""/>
      <w:lvlJc w:val="left"/>
      <w:pPr>
        <w:ind w:left="3166" w:hanging="360"/>
      </w:pPr>
      <w:rPr>
        <w:rFonts w:ascii="Symbol" w:hAnsi="Symbol" w:hint="default"/>
      </w:rPr>
    </w:lvl>
    <w:lvl w:ilvl="4" w:tplc="040C0003" w:tentative="1">
      <w:start w:val="1"/>
      <w:numFmt w:val="bullet"/>
      <w:lvlText w:val="o"/>
      <w:lvlJc w:val="left"/>
      <w:pPr>
        <w:ind w:left="3886" w:hanging="360"/>
      </w:pPr>
      <w:rPr>
        <w:rFonts w:ascii="Courier New" w:hAnsi="Courier New" w:cs="Courier New" w:hint="default"/>
      </w:rPr>
    </w:lvl>
    <w:lvl w:ilvl="5" w:tplc="040C0005" w:tentative="1">
      <w:start w:val="1"/>
      <w:numFmt w:val="bullet"/>
      <w:lvlText w:val=""/>
      <w:lvlJc w:val="left"/>
      <w:pPr>
        <w:ind w:left="4606" w:hanging="360"/>
      </w:pPr>
      <w:rPr>
        <w:rFonts w:ascii="Wingdings" w:hAnsi="Wingdings" w:hint="default"/>
      </w:rPr>
    </w:lvl>
    <w:lvl w:ilvl="6" w:tplc="040C0001" w:tentative="1">
      <w:start w:val="1"/>
      <w:numFmt w:val="bullet"/>
      <w:lvlText w:val=""/>
      <w:lvlJc w:val="left"/>
      <w:pPr>
        <w:ind w:left="5326" w:hanging="360"/>
      </w:pPr>
      <w:rPr>
        <w:rFonts w:ascii="Symbol" w:hAnsi="Symbol" w:hint="default"/>
      </w:rPr>
    </w:lvl>
    <w:lvl w:ilvl="7" w:tplc="040C0003" w:tentative="1">
      <w:start w:val="1"/>
      <w:numFmt w:val="bullet"/>
      <w:lvlText w:val="o"/>
      <w:lvlJc w:val="left"/>
      <w:pPr>
        <w:ind w:left="6046" w:hanging="360"/>
      </w:pPr>
      <w:rPr>
        <w:rFonts w:ascii="Courier New" w:hAnsi="Courier New" w:cs="Courier New" w:hint="default"/>
      </w:rPr>
    </w:lvl>
    <w:lvl w:ilvl="8" w:tplc="040C0005" w:tentative="1">
      <w:start w:val="1"/>
      <w:numFmt w:val="bullet"/>
      <w:lvlText w:val=""/>
      <w:lvlJc w:val="left"/>
      <w:pPr>
        <w:ind w:left="6766" w:hanging="360"/>
      </w:pPr>
      <w:rPr>
        <w:rFonts w:ascii="Wingdings" w:hAnsi="Wingdings" w:hint="default"/>
      </w:rPr>
    </w:lvl>
  </w:abstractNum>
  <w:abstractNum w:abstractNumId="10" w15:restartNumberingAfterBreak="0">
    <w:nsid w:val="4E0C5F2D"/>
    <w:multiLevelType w:val="hybridMultilevel"/>
    <w:tmpl w:val="42460D72"/>
    <w:lvl w:ilvl="0" w:tplc="040C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89D4B24"/>
    <w:multiLevelType w:val="hybridMultilevel"/>
    <w:tmpl w:val="2E9EB998"/>
    <w:lvl w:ilvl="0" w:tplc="524477B8">
      <w:numFmt w:val="bullet"/>
      <w:lvlText w:val="-"/>
      <w:lvlJc w:val="left"/>
      <w:pPr>
        <w:ind w:left="480" w:hanging="360"/>
      </w:pPr>
      <w:rPr>
        <w:rFonts w:ascii="Times New Roman" w:eastAsiaTheme="minorEastAsia" w:hAnsi="Times New Roman" w:hint="default"/>
      </w:rPr>
    </w:lvl>
    <w:lvl w:ilvl="1" w:tplc="040C0003" w:tentative="1">
      <w:start w:val="1"/>
      <w:numFmt w:val="bullet"/>
      <w:lvlText w:val="o"/>
      <w:lvlJc w:val="left"/>
      <w:pPr>
        <w:ind w:left="1200" w:hanging="360"/>
      </w:pPr>
      <w:rPr>
        <w:rFonts w:ascii="Courier New" w:hAnsi="Courier New" w:hint="default"/>
      </w:rPr>
    </w:lvl>
    <w:lvl w:ilvl="2" w:tplc="040C0005" w:tentative="1">
      <w:start w:val="1"/>
      <w:numFmt w:val="bullet"/>
      <w:lvlText w:val=""/>
      <w:lvlJc w:val="left"/>
      <w:pPr>
        <w:ind w:left="1920" w:hanging="360"/>
      </w:pPr>
      <w:rPr>
        <w:rFonts w:ascii="Wingdings" w:hAnsi="Wingdings" w:hint="default"/>
      </w:rPr>
    </w:lvl>
    <w:lvl w:ilvl="3" w:tplc="040C0001" w:tentative="1">
      <w:start w:val="1"/>
      <w:numFmt w:val="bullet"/>
      <w:lvlText w:val=""/>
      <w:lvlJc w:val="left"/>
      <w:pPr>
        <w:ind w:left="2640" w:hanging="360"/>
      </w:pPr>
      <w:rPr>
        <w:rFonts w:ascii="Symbol" w:hAnsi="Symbol" w:hint="default"/>
      </w:rPr>
    </w:lvl>
    <w:lvl w:ilvl="4" w:tplc="040C0003" w:tentative="1">
      <w:start w:val="1"/>
      <w:numFmt w:val="bullet"/>
      <w:lvlText w:val="o"/>
      <w:lvlJc w:val="left"/>
      <w:pPr>
        <w:ind w:left="3360" w:hanging="360"/>
      </w:pPr>
      <w:rPr>
        <w:rFonts w:ascii="Courier New" w:hAnsi="Courier New" w:hint="default"/>
      </w:rPr>
    </w:lvl>
    <w:lvl w:ilvl="5" w:tplc="040C0005" w:tentative="1">
      <w:start w:val="1"/>
      <w:numFmt w:val="bullet"/>
      <w:lvlText w:val=""/>
      <w:lvlJc w:val="left"/>
      <w:pPr>
        <w:ind w:left="4080" w:hanging="360"/>
      </w:pPr>
      <w:rPr>
        <w:rFonts w:ascii="Wingdings" w:hAnsi="Wingdings" w:hint="default"/>
      </w:rPr>
    </w:lvl>
    <w:lvl w:ilvl="6" w:tplc="040C0001" w:tentative="1">
      <w:start w:val="1"/>
      <w:numFmt w:val="bullet"/>
      <w:lvlText w:val=""/>
      <w:lvlJc w:val="left"/>
      <w:pPr>
        <w:ind w:left="4800" w:hanging="360"/>
      </w:pPr>
      <w:rPr>
        <w:rFonts w:ascii="Symbol" w:hAnsi="Symbol" w:hint="default"/>
      </w:rPr>
    </w:lvl>
    <w:lvl w:ilvl="7" w:tplc="040C0003" w:tentative="1">
      <w:start w:val="1"/>
      <w:numFmt w:val="bullet"/>
      <w:lvlText w:val="o"/>
      <w:lvlJc w:val="left"/>
      <w:pPr>
        <w:ind w:left="5520" w:hanging="360"/>
      </w:pPr>
      <w:rPr>
        <w:rFonts w:ascii="Courier New" w:hAnsi="Courier New" w:hint="default"/>
      </w:rPr>
    </w:lvl>
    <w:lvl w:ilvl="8" w:tplc="040C0005" w:tentative="1">
      <w:start w:val="1"/>
      <w:numFmt w:val="bullet"/>
      <w:lvlText w:val=""/>
      <w:lvlJc w:val="left"/>
      <w:pPr>
        <w:ind w:left="6240" w:hanging="360"/>
      </w:pPr>
      <w:rPr>
        <w:rFonts w:ascii="Wingdings" w:hAnsi="Wingdings" w:hint="default"/>
      </w:rPr>
    </w:lvl>
  </w:abstractNum>
  <w:abstractNum w:abstractNumId="12" w15:restartNumberingAfterBreak="0">
    <w:nsid w:val="6A150822"/>
    <w:multiLevelType w:val="hybridMultilevel"/>
    <w:tmpl w:val="D77AF7FA"/>
    <w:lvl w:ilvl="0" w:tplc="040C000F">
      <w:start w:val="1"/>
      <w:numFmt w:val="decimal"/>
      <w:lvlText w:val="%1."/>
      <w:lvlJc w:val="left"/>
      <w:pPr>
        <w:ind w:left="840" w:hanging="360"/>
      </w:pPr>
      <w:rPr>
        <w:rFonts w:cs="Times New Roman"/>
      </w:rPr>
    </w:lvl>
    <w:lvl w:ilvl="1" w:tplc="040C0019" w:tentative="1">
      <w:start w:val="1"/>
      <w:numFmt w:val="lowerLetter"/>
      <w:lvlText w:val="%2."/>
      <w:lvlJc w:val="left"/>
      <w:pPr>
        <w:ind w:left="1560" w:hanging="360"/>
      </w:pPr>
      <w:rPr>
        <w:rFonts w:cs="Times New Roman"/>
      </w:rPr>
    </w:lvl>
    <w:lvl w:ilvl="2" w:tplc="040C001B" w:tentative="1">
      <w:start w:val="1"/>
      <w:numFmt w:val="lowerRoman"/>
      <w:lvlText w:val="%3."/>
      <w:lvlJc w:val="right"/>
      <w:pPr>
        <w:ind w:left="2280" w:hanging="180"/>
      </w:pPr>
      <w:rPr>
        <w:rFonts w:cs="Times New Roman"/>
      </w:rPr>
    </w:lvl>
    <w:lvl w:ilvl="3" w:tplc="040C000F" w:tentative="1">
      <w:start w:val="1"/>
      <w:numFmt w:val="decimal"/>
      <w:lvlText w:val="%4."/>
      <w:lvlJc w:val="left"/>
      <w:pPr>
        <w:ind w:left="3000" w:hanging="360"/>
      </w:pPr>
      <w:rPr>
        <w:rFonts w:cs="Times New Roman"/>
      </w:rPr>
    </w:lvl>
    <w:lvl w:ilvl="4" w:tplc="040C0019" w:tentative="1">
      <w:start w:val="1"/>
      <w:numFmt w:val="lowerLetter"/>
      <w:lvlText w:val="%5."/>
      <w:lvlJc w:val="left"/>
      <w:pPr>
        <w:ind w:left="3720" w:hanging="360"/>
      </w:pPr>
      <w:rPr>
        <w:rFonts w:cs="Times New Roman"/>
      </w:rPr>
    </w:lvl>
    <w:lvl w:ilvl="5" w:tplc="040C001B" w:tentative="1">
      <w:start w:val="1"/>
      <w:numFmt w:val="lowerRoman"/>
      <w:lvlText w:val="%6."/>
      <w:lvlJc w:val="right"/>
      <w:pPr>
        <w:ind w:left="4440" w:hanging="180"/>
      </w:pPr>
      <w:rPr>
        <w:rFonts w:cs="Times New Roman"/>
      </w:rPr>
    </w:lvl>
    <w:lvl w:ilvl="6" w:tplc="040C000F" w:tentative="1">
      <w:start w:val="1"/>
      <w:numFmt w:val="decimal"/>
      <w:lvlText w:val="%7."/>
      <w:lvlJc w:val="left"/>
      <w:pPr>
        <w:ind w:left="5160" w:hanging="360"/>
      </w:pPr>
      <w:rPr>
        <w:rFonts w:cs="Times New Roman"/>
      </w:rPr>
    </w:lvl>
    <w:lvl w:ilvl="7" w:tplc="040C0019" w:tentative="1">
      <w:start w:val="1"/>
      <w:numFmt w:val="lowerLetter"/>
      <w:lvlText w:val="%8."/>
      <w:lvlJc w:val="left"/>
      <w:pPr>
        <w:ind w:left="5880" w:hanging="360"/>
      </w:pPr>
      <w:rPr>
        <w:rFonts w:cs="Times New Roman"/>
      </w:rPr>
    </w:lvl>
    <w:lvl w:ilvl="8" w:tplc="040C001B" w:tentative="1">
      <w:start w:val="1"/>
      <w:numFmt w:val="lowerRoman"/>
      <w:lvlText w:val="%9."/>
      <w:lvlJc w:val="right"/>
      <w:pPr>
        <w:ind w:left="6600" w:hanging="180"/>
      </w:pPr>
      <w:rPr>
        <w:rFonts w:cs="Times New Roman"/>
      </w:rPr>
    </w:lvl>
  </w:abstractNum>
  <w:abstractNum w:abstractNumId="13" w15:restartNumberingAfterBreak="0">
    <w:nsid w:val="73A30998"/>
    <w:multiLevelType w:val="hybridMultilevel"/>
    <w:tmpl w:val="F0C8CD68"/>
    <w:lvl w:ilvl="0" w:tplc="B762D3DA">
      <w:numFmt w:val="bullet"/>
      <w:lvlText w:val="-"/>
      <w:lvlJc w:val="left"/>
      <w:pPr>
        <w:ind w:left="480" w:hanging="360"/>
      </w:pPr>
      <w:rPr>
        <w:rFonts w:ascii="Times New Roman" w:eastAsiaTheme="minorEastAsia" w:hAnsi="Times New Roman" w:hint="default"/>
      </w:rPr>
    </w:lvl>
    <w:lvl w:ilvl="1" w:tplc="040C0003" w:tentative="1">
      <w:start w:val="1"/>
      <w:numFmt w:val="bullet"/>
      <w:lvlText w:val="o"/>
      <w:lvlJc w:val="left"/>
      <w:pPr>
        <w:ind w:left="1200" w:hanging="360"/>
      </w:pPr>
      <w:rPr>
        <w:rFonts w:ascii="Courier New" w:hAnsi="Courier New" w:hint="default"/>
      </w:rPr>
    </w:lvl>
    <w:lvl w:ilvl="2" w:tplc="040C0005" w:tentative="1">
      <w:start w:val="1"/>
      <w:numFmt w:val="bullet"/>
      <w:lvlText w:val=""/>
      <w:lvlJc w:val="left"/>
      <w:pPr>
        <w:ind w:left="1920" w:hanging="360"/>
      </w:pPr>
      <w:rPr>
        <w:rFonts w:ascii="Wingdings" w:hAnsi="Wingdings" w:hint="default"/>
      </w:rPr>
    </w:lvl>
    <w:lvl w:ilvl="3" w:tplc="040C0001" w:tentative="1">
      <w:start w:val="1"/>
      <w:numFmt w:val="bullet"/>
      <w:lvlText w:val=""/>
      <w:lvlJc w:val="left"/>
      <w:pPr>
        <w:ind w:left="2640" w:hanging="360"/>
      </w:pPr>
      <w:rPr>
        <w:rFonts w:ascii="Symbol" w:hAnsi="Symbol" w:hint="default"/>
      </w:rPr>
    </w:lvl>
    <w:lvl w:ilvl="4" w:tplc="040C0003" w:tentative="1">
      <w:start w:val="1"/>
      <w:numFmt w:val="bullet"/>
      <w:lvlText w:val="o"/>
      <w:lvlJc w:val="left"/>
      <w:pPr>
        <w:ind w:left="3360" w:hanging="360"/>
      </w:pPr>
      <w:rPr>
        <w:rFonts w:ascii="Courier New" w:hAnsi="Courier New" w:hint="default"/>
      </w:rPr>
    </w:lvl>
    <w:lvl w:ilvl="5" w:tplc="040C0005" w:tentative="1">
      <w:start w:val="1"/>
      <w:numFmt w:val="bullet"/>
      <w:lvlText w:val=""/>
      <w:lvlJc w:val="left"/>
      <w:pPr>
        <w:ind w:left="4080" w:hanging="360"/>
      </w:pPr>
      <w:rPr>
        <w:rFonts w:ascii="Wingdings" w:hAnsi="Wingdings" w:hint="default"/>
      </w:rPr>
    </w:lvl>
    <w:lvl w:ilvl="6" w:tplc="040C0001" w:tentative="1">
      <w:start w:val="1"/>
      <w:numFmt w:val="bullet"/>
      <w:lvlText w:val=""/>
      <w:lvlJc w:val="left"/>
      <w:pPr>
        <w:ind w:left="4800" w:hanging="360"/>
      </w:pPr>
      <w:rPr>
        <w:rFonts w:ascii="Symbol" w:hAnsi="Symbol" w:hint="default"/>
      </w:rPr>
    </w:lvl>
    <w:lvl w:ilvl="7" w:tplc="040C0003" w:tentative="1">
      <w:start w:val="1"/>
      <w:numFmt w:val="bullet"/>
      <w:lvlText w:val="o"/>
      <w:lvlJc w:val="left"/>
      <w:pPr>
        <w:ind w:left="5520" w:hanging="360"/>
      </w:pPr>
      <w:rPr>
        <w:rFonts w:ascii="Courier New" w:hAnsi="Courier New" w:hint="default"/>
      </w:rPr>
    </w:lvl>
    <w:lvl w:ilvl="8" w:tplc="040C0005" w:tentative="1">
      <w:start w:val="1"/>
      <w:numFmt w:val="bullet"/>
      <w:lvlText w:val=""/>
      <w:lvlJc w:val="left"/>
      <w:pPr>
        <w:ind w:left="6240" w:hanging="360"/>
      </w:pPr>
      <w:rPr>
        <w:rFonts w:ascii="Wingdings" w:hAnsi="Wingdings" w:hint="default"/>
      </w:rPr>
    </w:lvl>
  </w:abstractNum>
  <w:abstractNum w:abstractNumId="14" w15:restartNumberingAfterBreak="0">
    <w:nsid w:val="7D173A3A"/>
    <w:multiLevelType w:val="multilevel"/>
    <w:tmpl w:val="017C41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EC63DA4"/>
    <w:multiLevelType w:val="hybridMultilevel"/>
    <w:tmpl w:val="13E247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7"/>
  </w:num>
  <w:num w:numId="4">
    <w:abstractNumId w:val="8"/>
  </w:num>
  <w:num w:numId="5">
    <w:abstractNumId w:val="6"/>
  </w:num>
  <w:num w:numId="6">
    <w:abstractNumId w:val="9"/>
  </w:num>
  <w:num w:numId="7">
    <w:abstractNumId w:val="15"/>
  </w:num>
  <w:num w:numId="8">
    <w:abstractNumId w:val="0"/>
  </w:num>
  <w:num w:numId="9">
    <w:abstractNumId w:val="2"/>
  </w:num>
  <w:num w:numId="10">
    <w:abstractNumId w:val="1"/>
  </w:num>
  <w:num w:numId="11">
    <w:abstractNumId w:val="5"/>
  </w:num>
  <w:num w:numId="12">
    <w:abstractNumId w:val="13"/>
  </w:num>
  <w:num w:numId="13">
    <w:abstractNumId w:val="11"/>
  </w:num>
  <w:num w:numId="14">
    <w:abstractNumId w:val="12"/>
  </w:num>
  <w:num w:numId="15">
    <w:abstractNumId w:val="4"/>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326"/>
    <w:rsid w:val="0000044B"/>
    <w:rsid w:val="000541CD"/>
    <w:rsid w:val="000601B8"/>
    <w:rsid w:val="00061B94"/>
    <w:rsid w:val="000801CA"/>
    <w:rsid w:val="000E02FC"/>
    <w:rsid w:val="000F697D"/>
    <w:rsid w:val="001004BB"/>
    <w:rsid w:val="001354C5"/>
    <w:rsid w:val="001576F1"/>
    <w:rsid w:val="00180579"/>
    <w:rsid w:val="00186326"/>
    <w:rsid w:val="001B6A26"/>
    <w:rsid w:val="00236712"/>
    <w:rsid w:val="002B7B7B"/>
    <w:rsid w:val="002D16A3"/>
    <w:rsid w:val="002D5ED2"/>
    <w:rsid w:val="00303A19"/>
    <w:rsid w:val="00322DB6"/>
    <w:rsid w:val="0033413F"/>
    <w:rsid w:val="00343CC7"/>
    <w:rsid w:val="00353CBA"/>
    <w:rsid w:val="003C4EDE"/>
    <w:rsid w:val="003E5B11"/>
    <w:rsid w:val="003E77A7"/>
    <w:rsid w:val="00406C4E"/>
    <w:rsid w:val="0041461D"/>
    <w:rsid w:val="004250F9"/>
    <w:rsid w:val="00434069"/>
    <w:rsid w:val="00490D08"/>
    <w:rsid w:val="0049388E"/>
    <w:rsid w:val="00497F07"/>
    <w:rsid w:val="004B3105"/>
    <w:rsid w:val="004C0915"/>
    <w:rsid w:val="004C325F"/>
    <w:rsid w:val="004E7B96"/>
    <w:rsid w:val="004F49CE"/>
    <w:rsid w:val="00505E55"/>
    <w:rsid w:val="00522CF1"/>
    <w:rsid w:val="00530FE2"/>
    <w:rsid w:val="00541F8D"/>
    <w:rsid w:val="0054336B"/>
    <w:rsid w:val="00574630"/>
    <w:rsid w:val="00580652"/>
    <w:rsid w:val="005A212E"/>
    <w:rsid w:val="005A21F9"/>
    <w:rsid w:val="005C2B3D"/>
    <w:rsid w:val="005D7334"/>
    <w:rsid w:val="005F438A"/>
    <w:rsid w:val="0061054B"/>
    <w:rsid w:val="00611447"/>
    <w:rsid w:val="006162AC"/>
    <w:rsid w:val="00686048"/>
    <w:rsid w:val="00696DDD"/>
    <w:rsid w:val="006C3C66"/>
    <w:rsid w:val="006D028F"/>
    <w:rsid w:val="006E2D37"/>
    <w:rsid w:val="006F5E63"/>
    <w:rsid w:val="00715A1C"/>
    <w:rsid w:val="0073247B"/>
    <w:rsid w:val="00741552"/>
    <w:rsid w:val="00745BA7"/>
    <w:rsid w:val="0074609F"/>
    <w:rsid w:val="007638F3"/>
    <w:rsid w:val="007679DE"/>
    <w:rsid w:val="00781596"/>
    <w:rsid w:val="007971D2"/>
    <w:rsid w:val="007C3387"/>
    <w:rsid w:val="007E2EA3"/>
    <w:rsid w:val="007E3358"/>
    <w:rsid w:val="007E73B0"/>
    <w:rsid w:val="0084074E"/>
    <w:rsid w:val="00881B25"/>
    <w:rsid w:val="008964FA"/>
    <w:rsid w:val="00907325"/>
    <w:rsid w:val="00920765"/>
    <w:rsid w:val="00922E7F"/>
    <w:rsid w:val="00944BE3"/>
    <w:rsid w:val="00950760"/>
    <w:rsid w:val="0097256C"/>
    <w:rsid w:val="00994FA6"/>
    <w:rsid w:val="009A2F6D"/>
    <w:rsid w:val="009B6550"/>
    <w:rsid w:val="009C185F"/>
    <w:rsid w:val="009F5493"/>
    <w:rsid w:val="00A044DD"/>
    <w:rsid w:val="00A04D5F"/>
    <w:rsid w:val="00A16838"/>
    <w:rsid w:val="00A26AB8"/>
    <w:rsid w:val="00A31E3D"/>
    <w:rsid w:val="00A42DB1"/>
    <w:rsid w:val="00A85666"/>
    <w:rsid w:val="00A87B9F"/>
    <w:rsid w:val="00A93513"/>
    <w:rsid w:val="00AA213F"/>
    <w:rsid w:val="00AA65AE"/>
    <w:rsid w:val="00AE2A66"/>
    <w:rsid w:val="00AE4745"/>
    <w:rsid w:val="00AE4F76"/>
    <w:rsid w:val="00B849C5"/>
    <w:rsid w:val="00BB3FA4"/>
    <w:rsid w:val="00BC19D2"/>
    <w:rsid w:val="00BF03B4"/>
    <w:rsid w:val="00C8620D"/>
    <w:rsid w:val="00CB26E9"/>
    <w:rsid w:val="00CB3159"/>
    <w:rsid w:val="00D411ED"/>
    <w:rsid w:val="00D470A8"/>
    <w:rsid w:val="00D62E28"/>
    <w:rsid w:val="00D640E4"/>
    <w:rsid w:val="00D71845"/>
    <w:rsid w:val="00D85197"/>
    <w:rsid w:val="00D864E5"/>
    <w:rsid w:val="00D9424C"/>
    <w:rsid w:val="00DA13C6"/>
    <w:rsid w:val="00DA3A60"/>
    <w:rsid w:val="00DB1A5C"/>
    <w:rsid w:val="00DC2E5F"/>
    <w:rsid w:val="00DF1165"/>
    <w:rsid w:val="00E1192E"/>
    <w:rsid w:val="00E2036D"/>
    <w:rsid w:val="00E20471"/>
    <w:rsid w:val="00E4632C"/>
    <w:rsid w:val="00E949B2"/>
    <w:rsid w:val="00EA2166"/>
    <w:rsid w:val="00EF248A"/>
    <w:rsid w:val="00F27FEF"/>
    <w:rsid w:val="00F62A61"/>
    <w:rsid w:val="00F84B88"/>
    <w:rsid w:val="00F9168D"/>
    <w:rsid w:val="00FC3ED2"/>
    <w:rsid w:val="00FC5126"/>
    <w:rsid w:val="00FF3ADB"/>
    <w:rsid w:val="00FF3B79"/>
    <w:rsid w:val="00FF7B48"/>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9FAD0"/>
  <w15:docId w15:val="{8313EB82-BD8C-4FE8-95CD-25E196E8E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EB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A65AE"/>
    <w:pPr>
      <w:tabs>
        <w:tab w:val="center" w:pos="4536"/>
        <w:tab w:val="right" w:pos="9072"/>
      </w:tabs>
    </w:pPr>
  </w:style>
  <w:style w:type="character" w:customStyle="1" w:styleId="En-tteCar">
    <w:name w:val="En-tête Car"/>
    <w:basedOn w:val="Policepardfaut"/>
    <w:link w:val="En-tte"/>
    <w:uiPriority w:val="99"/>
    <w:rsid w:val="00AA65AE"/>
  </w:style>
  <w:style w:type="paragraph" w:styleId="Pieddepage">
    <w:name w:val="footer"/>
    <w:basedOn w:val="Normal"/>
    <w:link w:val="PieddepageCar"/>
    <w:uiPriority w:val="99"/>
    <w:unhideWhenUsed/>
    <w:rsid w:val="00AA65AE"/>
    <w:pPr>
      <w:tabs>
        <w:tab w:val="center" w:pos="4536"/>
        <w:tab w:val="right" w:pos="9072"/>
      </w:tabs>
    </w:pPr>
  </w:style>
  <w:style w:type="character" w:customStyle="1" w:styleId="PieddepageCar">
    <w:name w:val="Pied de page Car"/>
    <w:basedOn w:val="Policepardfaut"/>
    <w:link w:val="Pieddepage"/>
    <w:uiPriority w:val="99"/>
    <w:rsid w:val="00AA65AE"/>
  </w:style>
  <w:style w:type="paragraph" w:styleId="Textedebulles">
    <w:name w:val="Balloon Text"/>
    <w:basedOn w:val="Normal"/>
    <w:link w:val="TextedebullesCar"/>
    <w:uiPriority w:val="99"/>
    <w:semiHidden/>
    <w:unhideWhenUsed/>
    <w:rsid w:val="00FC3ED2"/>
    <w:rPr>
      <w:rFonts w:ascii="Tahoma" w:hAnsi="Tahoma" w:cs="Tahoma"/>
      <w:sz w:val="16"/>
      <w:szCs w:val="16"/>
    </w:rPr>
  </w:style>
  <w:style w:type="character" w:customStyle="1" w:styleId="TextedebullesCar">
    <w:name w:val="Texte de bulles Car"/>
    <w:basedOn w:val="Policepardfaut"/>
    <w:link w:val="Textedebulles"/>
    <w:uiPriority w:val="99"/>
    <w:semiHidden/>
    <w:rsid w:val="00FC3ED2"/>
    <w:rPr>
      <w:rFonts w:ascii="Tahoma" w:hAnsi="Tahoma" w:cs="Tahoma"/>
      <w:sz w:val="16"/>
      <w:szCs w:val="16"/>
    </w:rPr>
  </w:style>
  <w:style w:type="paragraph" w:customStyle="1" w:styleId="font8">
    <w:name w:val="font_8"/>
    <w:basedOn w:val="Normal"/>
    <w:rsid w:val="00A04D5F"/>
    <w:pPr>
      <w:spacing w:beforeLines="1" w:afterLines="1"/>
    </w:pPr>
    <w:rPr>
      <w:rFonts w:ascii="Times" w:hAnsi="Times"/>
      <w:sz w:val="20"/>
      <w:szCs w:val="20"/>
      <w:lang w:eastAsia="fr-FR"/>
    </w:rPr>
  </w:style>
  <w:style w:type="character" w:styleId="Accentuation">
    <w:name w:val="Emphasis"/>
    <w:basedOn w:val="Policepardfaut"/>
    <w:uiPriority w:val="20"/>
    <w:rsid w:val="00A04D5F"/>
    <w:rPr>
      <w:i/>
    </w:rPr>
  </w:style>
  <w:style w:type="character" w:customStyle="1" w:styleId="fc-falcon">
    <w:name w:val="fc-falcon"/>
    <w:basedOn w:val="Policepardfaut"/>
    <w:rsid w:val="00A04D5F"/>
  </w:style>
  <w:style w:type="paragraph" w:styleId="NormalWeb">
    <w:name w:val="Normal (Web)"/>
    <w:basedOn w:val="Normal"/>
    <w:uiPriority w:val="99"/>
    <w:semiHidden/>
    <w:unhideWhenUsed/>
    <w:rsid w:val="00686048"/>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686048"/>
    <w:rPr>
      <w:b/>
      <w:bCs/>
    </w:rPr>
  </w:style>
  <w:style w:type="character" w:styleId="Lienhypertexte">
    <w:name w:val="Hyperlink"/>
    <w:basedOn w:val="Policepardfaut"/>
    <w:uiPriority w:val="99"/>
    <w:unhideWhenUsed/>
    <w:rsid w:val="00686048"/>
    <w:rPr>
      <w:color w:val="0000FF"/>
      <w:u w:val="single"/>
    </w:rPr>
  </w:style>
  <w:style w:type="paragraph" w:styleId="Paragraphedeliste">
    <w:name w:val="List Paragraph"/>
    <w:basedOn w:val="Normal"/>
    <w:uiPriority w:val="34"/>
    <w:qFormat/>
    <w:rsid w:val="00180579"/>
    <w:pPr>
      <w:spacing w:after="200" w:line="276" w:lineRule="auto"/>
      <w:ind w:left="720"/>
      <w:contextualSpacing/>
    </w:pPr>
    <w:rPr>
      <w:rFonts w:eastAsiaTheme="minorEastAsia"/>
      <w:sz w:val="22"/>
      <w:szCs w:val="22"/>
      <w:lang w:eastAsia="fr-FR"/>
    </w:rPr>
  </w:style>
  <w:style w:type="paragraph" w:styleId="Corpsdetexte">
    <w:name w:val="Body Text"/>
    <w:basedOn w:val="Normal"/>
    <w:link w:val="CorpsdetexteCar"/>
    <w:uiPriority w:val="1"/>
    <w:qFormat/>
    <w:rsid w:val="006162AC"/>
    <w:pPr>
      <w:widowControl w:val="0"/>
      <w:autoSpaceDE w:val="0"/>
      <w:autoSpaceDN w:val="0"/>
      <w:adjustRightInd w:val="0"/>
      <w:spacing w:before="180"/>
      <w:ind w:left="229" w:hanging="110"/>
    </w:pPr>
    <w:rPr>
      <w:rFonts w:ascii="Georgia" w:eastAsiaTheme="minorEastAsia" w:hAnsi="Georgia" w:cs="Georgia"/>
      <w:sz w:val="22"/>
      <w:szCs w:val="22"/>
      <w:lang w:eastAsia="fr-FR"/>
    </w:rPr>
  </w:style>
  <w:style w:type="character" w:customStyle="1" w:styleId="CorpsdetexteCar">
    <w:name w:val="Corps de texte Car"/>
    <w:basedOn w:val="Policepardfaut"/>
    <w:link w:val="Corpsdetexte"/>
    <w:uiPriority w:val="1"/>
    <w:rsid w:val="006162AC"/>
    <w:rPr>
      <w:rFonts w:ascii="Georgia" w:eastAsiaTheme="minorEastAsia" w:hAnsi="Georgia" w:cs="Georgia"/>
      <w:sz w:val="22"/>
      <w:szCs w:val="22"/>
      <w:lang w:eastAsia="fr-FR"/>
    </w:rPr>
  </w:style>
  <w:style w:type="character" w:customStyle="1" w:styleId="fontstyle01">
    <w:name w:val="fontstyle01"/>
    <w:basedOn w:val="Policepardfaut"/>
    <w:rsid w:val="006162AC"/>
    <w:rPr>
      <w:rFonts w:ascii="Cambria" w:hAnsi="Cambria"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87909">
      <w:bodyDiv w:val="1"/>
      <w:marLeft w:val="0"/>
      <w:marRight w:val="0"/>
      <w:marTop w:val="0"/>
      <w:marBottom w:val="0"/>
      <w:divBdr>
        <w:top w:val="none" w:sz="0" w:space="0" w:color="auto"/>
        <w:left w:val="none" w:sz="0" w:space="0" w:color="auto"/>
        <w:bottom w:val="none" w:sz="0" w:space="0" w:color="auto"/>
        <w:right w:val="none" w:sz="0" w:space="0" w:color="auto"/>
      </w:divBdr>
      <w:divsChild>
        <w:div w:id="1077704042">
          <w:marLeft w:val="0"/>
          <w:marRight w:val="0"/>
          <w:marTop w:val="0"/>
          <w:marBottom w:val="0"/>
          <w:divBdr>
            <w:top w:val="none" w:sz="0" w:space="0" w:color="auto"/>
            <w:left w:val="none" w:sz="0" w:space="0" w:color="auto"/>
            <w:bottom w:val="none" w:sz="0" w:space="0" w:color="auto"/>
            <w:right w:val="none" w:sz="0" w:space="0" w:color="auto"/>
          </w:divBdr>
        </w:div>
      </w:divsChild>
    </w:div>
    <w:div w:id="1482965200">
      <w:bodyDiv w:val="1"/>
      <w:marLeft w:val="0"/>
      <w:marRight w:val="0"/>
      <w:marTop w:val="0"/>
      <w:marBottom w:val="0"/>
      <w:divBdr>
        <w:top w:val="none" w:sz="0" w:space="0" w:color="auto"/>
        <w:left w:val="none" w:sz="0" w:space="0" w:color="auto"/>
        <w:bottom w:val="none" w:sz="0" w:space="0" w:color="auto"/>
        <w:right w:val="none" w:sz="0" w:space="0" w:color="auto"/>
      </w:divBdr>
    </w:div>
    <w:div w:id="1730374277">
      <w:bodyDiv w:val="1"/>
      <w:marLeft w:val="0"/>
      <w:marRight w:val="0"/>
      <w:marTop w:val="0"/>
      <w:marBottom w:val="0"/>
      <w:divBdr>
        <w:top w:val="none" w:sz="0" w:space="0" w:color="auto"/>
        <w:left w:val="none" w:sz="0" w:space="0" w:color="auto"/>
        <w:bottom w:val="none" w:sz="0" w:space="0" w:color="auto"/>
        <w:right w:val="none" w:sz="0" w:space="0" w:color="auto"/>
      </w:divBdr>
      <w:divsChild>
        <w:div w:id="2012443231">
          <w:marLeft w:val="0"/>
          <w:marRight w:val="0"/>
          <w:marTop w:val="0"/>
          <w:marBottom w:val="0"/>
          <w:divBdr>
            <w:top w:val="none" w:sz="0" w:space="0" w:color="auto"/>
            <w:left w:val="none" w:sz="0" w:space="0" w:color="auto"/>
            <w:bottom w:val="none" w:sz="0" w:space="0" w:color="auto"/>
            <w:right w:val="none" w:sz="0" w:space="0" w:color="auto"/>
          </w:divBdr>
        </w:div>
        <w:div w:id="1562641274">
          <w:marLeft w:val="0"/>
          <w:marRight w:val="0"/>
          <w:marTop w:val="0"/>
          <w:marBottom w:val="0"/>
          <w:divBdr>
            <w:top w:val="none" w:sz="0" w:space="0" w:color="auto"/>
            <w:left w:val="none" w:sz="0" w:space="0" w:color="auto"/>
            <w:bottom w:val="none" w:sz="0" w:space="0" w:color="auto"/>
            <w:right w:val="none" w:sz="0" w:space="0" w:color="auto"/>
          </w:divBdr>
        </w:div>
        <w:div w:id="1706246071">
          <w:marLeft w:val="0"/>
          <w:marRight w:val="0"/>
          <w:marTop w:val="0"/>
          <w:marBottom w:val="0"/>
          <w:divBdr>
            <w:top w:val="none" w:sz="0" w:space="0" w:color="auto"/>
            <w:left w:val="none" w:sz="0" w:space="0" w:color="auto"/>
            <w:bottom w:val="none" w:sz="0" w:space="0" w:color="auto"/>
            <w:right w:val="none" w:sz="0" w:space="0" w:color="auto"/>
          </w:divBdr>
        </w:div>
        <w:div w:id="1939562499">
          <w:marLeft w:val="0"/>
          <w:marRight w:val="0"/>
          <w:marTop w:val="0"/>
          <w:marBottom w:val="0"/>
          <w:divBdr>
            <w:top w:val="none" w:sz="0" w:space="0" w:color="auto"/>
            <w:left w:val="none" w:sz="0" w:space="0" w:color="auto"/>
            <w:bottom w:val="none" w:sz="0" w:space="0" w:color="auto"/>
            <w:right w:val="none" w:sz="0" w:space="0" w:color="auto"/>
          </w:divBdr>
        </w:div>
        <w:div w:id="1820147588">
          <w:marLeft w:val="0"/>
          <w:marRight w:val="0"/>
          <w:marTop w:val="0"/>
          <w:marBottom w:val="0"/>
          <w:divBdr>
            <w:top w:val="none" w:sz="0" w:space="0" w:color="auto"/>
            <w:left w:val="none" w:sz="0" w:space="0" w:color="auto"/>
            <w:bottom w:val="none" w:sz="0" w:space="0" w:color="auto"/>
            <w:right w:val="none" w:sz="0" w:space="0" w:color="auto"/>
          </w:divBdr>
        </w:div>
        <w:div w:id="1291471963">
          <w:marLeft w:val="0"/>
          <w:marRight w:val="0"/>
          <w:marTop w:val="0"/>
          <w:marBottom w:val="0"/>
          <w:divBdr>
            <w:top w:val="none" w:sz="0" w:space="0" w:color="auto"/>
            <w:left w:val="none" w:sz="0" w:space="0" w:color="auto"/>
            <w:bottom w:val="none" w:sz="0" w:space="0" w:color="auto"/>
            <w:right w:val="none" w:sz="0" w:space="0" w:color="auto"/>
          </w:divBdr>
        </w:div>
      </w:divsChild>
    </w:div>
    <w:div w:id="1888175569">
      <w:bodyDiv w:val="1"/>
      <w:marLeft w:val="0"/>
      <w:marRight w:val="0"/>
      <w:marTop w:val="0"/>
      <w:marBottom w:val="0"/>
      <w:divBdr>
        <w:top w:val="none" w:sz="0" w:space="0" w:color="auto"/>
        <w:left w:val="none" w:sz="0" w:space="0" w:color="auto"/>
        <w:bottom w:val="none" w:sz="0" w:space="0" w:color="auto"/>
        <w:right w:val="none" w:sz="0" w:space="0" w:color="auto"/>
      </w:divBdr>
      <w:divsChild>
        <w:div w:id="1245265200">
          <w:marLeft w:val="0"/>
          <w:marRight w:val="0"/>
          <w:marTop w:val="0"/>
          <w:marBottom w:val="0"/>
          <w:divBdr>
            <w:top w:val="none" w:sz="0" w:space="0" w:color="auto"/>
            <w:left w:val="none" w:sz="0" w:space="0" w:color="auto"/>
            <w:bottom w:val="none" w:sz="0" w:space="0" w:color="auto"/>
            <w:right w:val="none" w:sz="0" w:space="0" w:color="auto"/>
          </w:divBdr>
        </w:div>
        <w:div w:id="1924946560">
          <w:marLeft w:val="0"/>
          <w:marRight w:val="0"/>
          <w:marTop w:val="0"/>
          <w:marBottom w:val="0"/>
          <w:divBdr>
            <w:top w:val="none" w:sz="0" w:space="0" w:color="auto"/>
            <w:left w:val="none" w:sz="0" w:space="0" w:color="auto"/>
            <w:bottom w:val="none" w:sz="0" w:space="0" w:color="auto"/>
            <w:right w:val="none" w:sz="0" w:space="0" w:color="auto"/>
          </w:divBdr>
        </w:div>
      </w:divsChild>
    </w:div>
    <w:div w:id="1951008031">
      <w:bodyDiv w:val="1"/>
      <w:marLeft w:val="0"/>
      <w:marRight w:val="0"/>
      <w:marTop w:val="0"/>
      <w:marBottom w:val="0"/>
      <w:divBdr>
        <w:top w:val="none" w:sz="0" w:space="0" w:color="auto"/>
        <w:left w:val="none" w:sz="0" w:space="0" w:color="auto"/>
        <w:bottom w:val="none" w:sz="0" w:space="0" w:color="auto"/>
        <w:right w:val="none" w:sz="0" w:space="0" w:color="auto"/>
      </w:divBdr>
      <w:divsChild>
        <w:div w:id="572393171">
          <w:marLeft w:val="0"/>
          <w:marRight w:val="0"/>
          <w:marTop w:val="0"/>
          <w:marBottom w:val="0"/>
          <w:divBdr>
            <w:top w:val="none" w:sz="0" w:space="0" w:color="auto"/>
            <w:left w:val="none" w:sz="0" w:space="0" w:color="auto"/>
            <w:bottom w:val="none" w:sz="0" w:space="0" w:color="auto"/>
            <w:right w:val="none" w:sz="0" w:space="0" w:color="auto"/>
          </w:divBdr>
        </w:div>
        <w:div w:id="1402365958">
          <w:marLeft w:val="0"/>
          <w:marRight w:val="0"/>
          <w:marTop w:val="0"/>
          <w:marBottom w:val="0"/>
          <w:divBdr>
            <w:top w:val="none" w:sz="0" w:space="0" w:color="auto"/>
            <w:left w:val="none" w:sz="0" w:space="0" w:color="auto"/>
            <w:bottom w:val="none" w:sz="0" w:space="0" w:color="auto"/>
            <w:right w:val="none" w:sz="0" w:space="0" w:color="auto"/>
          </w:divBdr>
        </w:div>
        <w:div w:id="1410350170">
          <w:marLeft w:val="0"/>
          <w:marRight w:val="0"/>
          <w:marTop w:val="0"/>
          <w:marBottom w:val="0"/>
          <w:divBdr>
            <w:top w:val="none" w:sz="0" w:space="0" w:color="auto"/>
            <w:left w:val="none" w:sz="0" w:space="0" w:color="auto"/>
            <w:bottom w:val="none" w:sz="0" w:space="0" w:color="auto"/>
            <w:right w:val="none" w:sz="0" w:space="0" w:color="auto"/>
          </w:divBdr>
        </w:div>
      </w:divsChild>
    </w:div>
    <w:div w:id="2102678944">
      <w:bodyDiv w:val="1"/>
      <w:marLeft w:val="0"/>
      <w:marRight w:val="0"/>
      <w:marTop w:val="0"/>
      <w:marBottom w:val="0"/>
      <w:divBdr>
        <w:top w:val="none" w:sz="0" w:space="0" w:color="auto"/>
        <w:left w:val="none" w:sz="0" w:space="0" w:color="auto"/>
        <w:bottom w:val="none" w:sz="0" w:space="0" w:color="auto"/>
        <w:right w:val="none" w:sz="0" w:space="0" w:color="auto"/>
      </w:divBdr>
    </w:div>
    <w:div w:id="2105304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atnpri.sciencesconf.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iatnpri.sciencesconf.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tienne.damome@u-bordeaux-montaigne.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1098</TotalTime>
  <Pages>10</Pages>
  <Words>3454</Words>
  <Characters>19003</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
    </vt:vector>
  </TitlesOfParts>
  <Company>BX3</Company>
  <LinksUpToDate>false</LinksUpToDate>
  <CharactersWithSpaces>22413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mica</dc:creator>
  <cp:keywords/>
  <cp:lastModifiedBy>LAKETIENKOIA ETIENNE DAMOME</cp:lastModifiedBy>
  <cp:revision>21</cp:revision>
  <cp:lastPrinted>2025-09-27T15:34:00Z</cp:lastPrinted>
  <dcterms:created xsi:type="dcterms:W3CDTF">2025-09-16T10:33:00Z</dcterms:created>
  <dcterms:modified xsi:type="dcterms:W3CDTF">2025-09-30T12:14:00Z</dcterms:modified>
</cp:coreProperties>
</file>